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229E6" w14:paraId="7260830E" w14:textId="77777777">
        <w:tblPrEx>
          <w:tblCellMar>
            <w:top w:w="0" w:type="dxa"/>
            <w:bottom w:w="0" w:type="dxa"/>
          </w:tblCellMar>
        </w:tblPrEx>
        <w:trPr>
          <w:tblCellSpacing w:w="60" w:type="dxa"/>
        </w:trPr>
        <w:tc>
          <w:tcPr>
            <w:tcW w:w="1200" w:type="pct"/>
            <w:shd w:val="clear" w:color="auto" w:fill="E7F0F9"/>
          </w:tcPr>
          <w:p w14:paraId="1FE12B65" w14:textId="77777777" w:rsidR="009229E6" w:rsidRDefault="00000000">
            <w:pPr>
              <w:spacing w:after="0" w:line="240" w:lineRule="auto"/>
            </w:pPr>
            <w:r>
              <w:rPr>
                <w:b/>
              </w:rPr>
              <w:t>RKP broj</w:t>
            </w:r>
          </w:p>
        </w:tc>
        <w:tc>
          <w:tcPr>
            <w:tcW w:w="0" w:type="auto"/>
            <w:shd w:val="clear" w:color="auto" w:fill="E7F0F9"/>
          </w:tcPr>
          <w:p w14:paraId="1C4A886D" w14:textId="77777777" w:rsidR="009229E6" w:rsidRDefault="00000000">
            <w:pPr>
              <w:spacing w:after="0" w:line="240" w:lineRule="auto"/>
            </w:pPr>
            <w:r>
              <w:t>50346</w:t>
            </w:r>
          </w:p>
        </w:tc>
      </w:tr>
      <w:tr w:rsidR="009229E6" w14:paraId="18A03974" w14:textId="77777777">
        <w:tblPrEx>
          <w:tblCellMar>
            <w:top w:w="0" w:type="dxa"/>
            <w:bottom w:w="0" w:type="dxa"/>
          </w:tblCellMar>
        </w:tblPrEx>
        <w:trPr>
          <w:tblCellSpacing w:w="60" w:type="dxa"/>
        </w:trPr>
        <w:tc>
          <w:tcPr>
            <w:tcW w:w="1200" w:type="pct"/>
            <w:shd w:val="clear" w:color="auto" w:fill="E7F0F9"/>
          </w:tcPr>
          <w:p w14:paraId="7B909888" w14:textId="77777777" w:rsidR="009229E6" w:rsidRDefault="00000000">
            <w:pPr>
              <w:spacing w:after="0" w:line="240" w:lineRule="auto"/>
            </w:pPr>
            <w:r>
              <w:rPr>
                <w:b/>
              </w:rPr>
              <w:t>Naziv obveznika</w:t>
            </w:r>
          </w:p>
        </w:tc>
        <w:tc>
          <w:tcPr>
            <w:tcW w:w="0" w:type="auto"/>
            <w:shd w:val="clear" w:color="auto" w:fill="E7F0F9"/>
          </w:tcPr>
          <w:p w14:paraId="7538A1B3" w14:textId="77777777" w:rsidR="009229E6" w:rsidRDefault="00000000">
            <w:pPr>
              <w:spacing w:after="0" w:line="240" w:lineRule="auto"/>
            </w:pPr>
            <w:r>
              <w:t>JAVNA USTANOVA ZA REGIONALNI RAZVOJ VARAŽDINSKE ŽUPANIJE</w:t>
            </w:r>
          </w:p>
        </w:tc>
      </w:tr>
      <w:tr w:rsidR="009229E6" w14:paraId="78451100" w14:textId="77777777">
        <w:tblPrEx>
          <w:tblCellMar>
            <w:top w:w="0" w:type="dxa"/>
            <w:bottom w:w="0" w:type="dxa"/>
          </w:tblCellMar>
        </w:tblPrEx>
        <w:trPr>
          <w:tblCellSpacing w:w="60" w:type="dxa"/>
        </w:trPr>
        <w:tc>
          <w:tcPr>
            <w:tcW w:w="1200" w:type="pct"/>
            <w:shd w:val="clear" w:color="auto" w:fill="E7F0F9"/>
          </w:tcPr>
          <w:p w14:paraId="55C8E07F" w14:textId="77777777" w:rsidR="009229E6" w:rsidRDefault="00000000">
            <w:pPr>
              <w:spacing w:after="0" w:line="240" w:lineRule="auto"/>
            </w:pPr>
            <w:r>
              <w:rPr>
                <w:b/>
              </w:rPr>
              <w:t>Razina</w:t>
            </w:r>
          </w:p>
        </w:tc>
        <w:tc>
          <w:tcPr>
            <w:tcW w:w="0" w:type="auto"/>
            <w:shd w:val="clear" w:color="auto" w:fill="E7F0F9"/>
          </w:tcPr>
          <w:p w14:paraId="16593B4F" w14:textId="77777777" w:rsidR="009229E6" w:rsidRDefault="00000000">
            <w:pPr>
              <w:spacing w:after="0" w:line="240" w:lineRule="auto"/>
            </w:pPr>
            <w:r>
              <w:t>21</w:t>
            </w:r>
          </w:p>
        </w:tc>
      </w:tr>
    </w:tbl>
    <w:p w14:paraId="0CAA1BE6" w14:textId="77777777" w:rsidR="009229E6" w:rsidRDefault="00000000">
      <w:r>
        <w:br/>
      </w:r>
    </w:p>
    <w:p w14:paraId="74FCF36F" w14:textId="77777777" w:rsidR="009229E6" w:rsidRDefault="00000000">
      <w:pPr>
        <w:spacing w:line="240" w:lineRule="auto"/>
        <w:jc w:val="center"/>
      </w:pPr>
      <w:r>
        <w:rPr>
          <w:b/>
          <w:sz w:val="28"/>
        </w:rPr>
        <w:t>BILJEŠKE UZ FINANCIJSKE IZVJEŠTAJE</w:t>
      </w:r>
    </w:p>
    <w:p w14:paraId="2713E1F6" w14:textId="77777777" w:rsidR="009229E6" w:rsidRDefault="00000000">
      <w:pPr>
        <w:spacing w:line="240" w:lineRule="auto"/>
        <w:jc w:val="center"/>
      </w:pPr>
      <w:r>
        <w:rPr>
          <w:b/>
          <w:sz w:val="28"/>
        </w:rPr>
        <w:t>ZA RAZDOBLJE</w:t>
      </w:r>
    </w:p>
    <w:p w14:paraId="40D05EED" w14:textId="77777777" w:rsidR="009229E6" w:rsidRDefault="00000000">
      <w:pPr>
        <w:spacing w:line="240" w:lineRule="auto"/>
        <w:jc w:val="center"/>
      </w:pPr>
      <w:r>
        <w:rPr>
          <w:b/>
          <w:sz w:val="28"/>
        </w:rPr>
        <w:t>I - XII 2025.</w:t>
      </w:r>
    </w:p>
    <w:p w14:paraId="14D68BA8" w14:textId="77777777" w:rsidR="009229E6" w:rsidRDefault="009229E6"/>
    <w:p w14:paraId="05B8728B" w14:textId="77777777" w:rsidR="009229E6" w:rsidRDefault="00000000">
      <w:pPr>
        <w:keepNext/>
        <w:spacing w:line="240" w:lineRule="auto"/>
        <w:jc w:val="center"/>
      </w:pPr>
      <w:r>
        <w:rPr>
          <w:b/>
          <w:sz w:val="28"/>
        </w:rPr>
        <w:t>Izvještaj o prihodima i rashodima, primicima i izdacima</w:t>
      </w:r>
    </w:p>
    <w:p w14:paraId="100EEF0E" w14:textId="77777777" w:rsidR="009229E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35F285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F5942D"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23CA5"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D458E"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023A97"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8EA32C"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16B38A" w14:textId="77777777" w:rsidR="009229E6" w:rsidRDefault="00000000">
            <w:pPr>
              <w:keepNext/>
              <w:keepLines/>
              <w:spacing w:after="0" w:line="240" w:lineRule="auto"/>
              <w:jc w:val="center"/>
            </w:pPr>
            <w:r>
              <w:rPr>
                <w:b/>
                <w:sz w:val="18"/>
              </w:rPr>
              <w:t>Indeks (%)</w:t>
            </w:r>
          </w:p>
        </w:tc>
      </w:tr>
      <w:tr w:rsidR="009229E6" w14:paraId="38FC5637" w14:textId="77777777">
        <w:tblPrEx>
          <w:tblCellMar>
            <w:top w:w="0" w:type="dxa"/>
            <w:bottom w:w="0" w:type="dxa"/>
          </w:tblCellMar>
        </w:tblPrEx>
        <w:trPr>
          <w:cantSplit/>
          <w:trHeight w:val="560"/>
        </w:trPr>
        <w:tc>
          <w:tcPr>
            <w:tcW w:w="700" w:type="dxa"/>
            <w:tcMar>
              <w:top w:w="0" w:type="dxa"/>
              <w:bottom w:w="0" w:type="dxa"/>
            </w:tcMar>
            <w:vAlign w:val="center"/>
          </w:tcPr>
          <w:p w14:paraId="340507E8" w14:textId="77777777" w:rsidR="009229E6" w:rsidRDefault="00000000">
            <w:pPr>
              <w:keepNext/>
              <w:keepLines/>
              <w:spacing w:after="0" w:line="240" w:lineRule="auto"/>
            </w:pPr>
            <w:r>
              <w:rPr>
                <w:sz w:val="18"/>
              </w:rPr>
              <w:t>6</w:t>
            </w:r>
          </w:p>
        </w:tc>
        <w:tc>
          <w:tcPr>
            <w:tcW w:w="3180" w:type="dxa"/>
            <w:tcMar>
              <w:top w:w="0" w:type="dxa"/>
              <w:bottom w:w="0" w:type="dxa"/>
            </w:tcMar>
            <w:vAlign w:val="center"/>
          </w:tcPr>
          <w:p w14:paraId="400D2CB8" w14:textId="77777777" w:rsidR="009229E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47955BA" w14:textId="77777777" w:rsidR="009229E6" w:rsidRDefault="00000000">
            <w:pPr>
              <w:keepNext/>
              <w:keepLines/>
              <w:spacing w:after="0" w:line="240" w:lineRule="auto"/>
            </w:pPr>
            <w:r>
              <w:rPr>
                <w:sz w:val="18"/>
              </w:rPr>
              <w:t>6</w:t>
            </w:r>
          </w:p>
        </w:tc>
        <w:tc>
          <w:tcPr>
            <w:tcW w:w="1860" w:type="dxa"/>
            <w:tcMar>
              <w:top w:w="0" w:type="dxa"/>
              <w:bottom w:w="0" w:type="dxa"/>
            </w:tcMar>
            <w:vAlign w:val="center"/>
          </w:tcPr>
          <w:p w14:paraId="4DDA93F7" w14:textId="77777777" w:rsidR="009229E6" w:rsidRDefault="00000000">
            <w:pPr>
              <w:keepNext/>
              <w:keepLines/>
              <w:spacing w:after="0" w:line="240" w:lineRule="auto"/>
              <w:jc w:val="right"/>
            </w:pPr>
            <w:r>
              <w:rPr>
                <w:sz w:val="18"/>
              </w:rPr>
              <w:t>986.281,62</w:t>
            </w:r>
          </w:p>
        </w:tc>
        <w:tc>
          <w:tcPr>
            <w:tcW w:w="1860" w:type="dxa"/>
            <w:tcMar>
              <w:top w:w="0" w:type="dxa"/>
              <w:bottom w:w="0" w:type="dxa"/>
            </w:tcMar>
            <w:vAlign w:val="center"/>
          </w:tcPr>
          <w:p w14:paraId="556B4AF0" w14:textId="77777777" w:rsidR="009229E6" w:rsidRDefault="00000000">
            <w:pPr>
              <w:keepNext/>
              <w:keepLines/>
              <w:spacing w:after="0" w:line="240" w:lineRule="auto"/>
              <w:jc w:val="right"/>
            </w:pPr>
            <w:r>
              <w:rPr>
                <w:sz w:val="18"/>
              </w:rPr>
              <w:t>838.829,73</w:t>
            </w:r>
          </w:p>
        </w:tc>
        <w:tc>
          <w:tcPr>
            <w:tcW w:w="700" w:type="dxa"/>
            <w:tcMar>
              <w:top w:w="0" w:type="dxa"/>
              <w:bottom w:w="0" w:type="dxa"/>
            </w:tcMar>
            <w:vAlign w:val="center"/>
          </w:tcPr>
          <w:p w14:paraId="1026BBB9" w14:textId="77777777" w:rsidR="009229E6" w:rsidRDefault="00000000">
            <w:pPr>
              <w:keepNext/>
              <w:keepLines/>
              <w:spacing w:after="0" w:line="240" w:lineRule="auto"/>
              <w:jc w:val="right"/>
            </w:pPr>
            <w:r>
              <w:rPr>
                <w:sz w:val="18"/>
              </w:rPr>
              <w:t>85,0</w:t>
            </w:r>
          </w:p>
        </w:tc>
      </w:tr>
      <w:tr w:rsidR="009229E6" w14:paraId="3A8343A9" w14:textId="77777777">
        <w:tblPrEx>
          <w:tblCellMar>
            <w:top w:w="0" w:type="dxa"/>
            <w:bottom w:w="0" w:type="dxa"/>
          </w:tblCellMar>
        </w:tblPrEx>
        <w:trPr>
          <w:cantSplit/>
          <w:trHeight w:val="560"/>
        </w:trPr>
        <w:tc>
          <w:tcPr>
            <w:tcW w:w="700" w:type="dxa"/>
            <w:tcMar>
              <w:top w:w="0" w:type="dxa"/>
              <w:bottom w:w="0" w:type="dxa"/>
            </w:tcMar>
            <w:vAlign w:val="center"/>
          </w:tcPr>
          <w:p w14:paraId="438443B0" w14:textId="77777777" w:rsidR="009229E6" w:rsidRDefault="00000000">
            <w:pPr>
              <w:keepNext/>
              <w:keepLines/>
              <w:spacing w:after="0" w:line="240" w:lineRule="auto"/>
            </w:pPr>
            <w:r>
              <w:rPr>
                <w:sz w:val="18"/>
              </w:rPr>
              <w:t>3</w:t>
            </w:r>
          </w:p>
        </w:tc>
        <w:tc>
          <w:tcPr>
            <w:tcW w:w="3180" w:type="dxa"/>
            <w:tcMar>
              <w:top w:w="0" w:type="dxa"/>
              <w:bottom w:w="0" w:type="dxa"/>
            </w:tcMar>
            <w:vAlign w:val="center"/>
          </w:tcPr>
          <w:p w14:paraId="44258A42" w14:textId="77777777" w:rsidR="009229E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F35DF37" w14:textId="77777777" w:rsidR="009229E6" w:rsidRDefault="00000000">
            <w:pPr>
              <w:keepNext/>
              <w:keepLines/>
              <w:spacing w:after="0" w:line="240" w:lineRule="auto"/>
            </w:pPr>
            <w:r>
              <w:rPr>
                <w:sz w:val="18"/>
              </w:rPr>
              <w:t>3</w:t>
            </w:r>
          </w:p>
        </w:tc>
        <w:tc>
          <w:tcPr>
            <w:tcW w:w="1860" w:type="dxa"/>
            <w:tcMar>
              <w:top w:w="0" w:type="dxa"/>
              <w:bottom w:w="0" w:type="dxa"/>
            </w:tcMar>
            <w:vAlign w:val="center"/>
          </w:tcPr>
          <w:p w14:paraId="00C127A3" w14:textId="77777777" w:rsidR="009229E6" w:rsidRDefault="00000000">
            <w:pPr>
              <w:keepNext/>
              <w:keepLines/>
              <w:spacing w:after="0" w:line="240" w:lineRule="auto"/>
              <w:jc w:val="right"/>
            </w:pPr>
            <w:r>
              <w:rPr>
                <w:sz w:val="18"/>
              </w:rPr>
              <w:t>819.407,70</w:t>
            </w:r>
          </w:p>
        </w:tc>
        <w:tc>
          <w:tcPr>
            <w:tcW w:w="1860" w:type="dxa"/>
            <w:tcMar>
              <w:top w:w="0" w:type="dxa"/>
              <w:bottom w:w="0" w:type="dxa"/>
            </w:tcMar>
            <w:vAlign w:val="center"/>
          </w:tcPr>
          <w:p w14:paraId="0D1A4600" w14:textId="77777777" w:rsidR="009229E6" w:rsidRDefault="00000000">
            <w:pPr>
              <w:keepNext/>
              <w:keepLines/>
              <w:spacing w:after="0" w:line="240" w:lineRule="auto"/>
              <w:jc w:val="right"/>
            </w:pPr>
            <w:r>
              <w:rPr>
                <w:sz w:val="18"/>
              </w:rPr>
              <w:t>889.125,99</w:t>
            </w:r>
          </w:p>
        </w:tc>
        <w:tc>
          <w:tcPr>
            <w:tcW w:w="700" w:type="dxa"/>
            <w:tcMar>
              <w:top w:w="0" w:type="dxa"/>
              <w:bottom w:w="0" w:type="dxa"/>
            </w:tcMar>
            <w:vAlign w:val="center"/>
          </w:tcPr>
          <w:p w14:paraId="43FC20CD" w14:textId="77777777" w:rsidR="009229E6" w:rsidRDefault="00000000">
            <w:pPr>
              <w:keepNext/>
              <w:keepLines/>
              <w:spacing w:after="0" w:line="240" w:lineRule="auto"/>
              <w:jc w:val="right"/>
            </w:pPr>
            <w:r>
              <w:rPr>
                <w:sz w:val="18"/>
              </w:rPr>
              <w:t>108,5</w:t>
            </w:r>
          </w:p>
        </w:tc>
      </w:tr>
      <w:tr w:rsidR="009229E6" w14:paraId="0009DE27" w14:textId="77777777">
        <w:tblPrEx>
          <w:tblCellMar>
            <w:top w:w="0" w:type="dxa"/>
            <w:bottom w:w="0" w:type="dxa"/>
          </w:tblCellMar>
        </w:tblPrEx>
        <w:trPr>
          <w:cantSplit/>
          <w:trHeight w:val="560"/>
        </w:trPr>
        <w:tc>
          <w:tcPr>
            <w:tcW w:w="700" w:type="dxa"/>
            <w:tcMar>
              <w:top w:w="0" w:type="dxa"/>
              <w:bottom w:w="0" w:type="dxa"/>
            </w:tcMar>
            <w:vAlign w:val="center"/>
          </w:tcPr>
          <w:p w14:paraId="58C76AD5" w14:textId="77777777" w:rsidR="009229E6" w:rsidRDefault="009229E6">
            <w:pPr>
              <w:keepNext/>
              <w:keepLines/>
              <w:spacing w:after="0" w:line="240" w:lineRule="auto"/>
            </w:pPr>
          </w:p>
        </w:tc>
        <w:tc>
          <w:tcPr>
            <w:tcW w:w="3180" w:type="dxa"/>
            <w:tcMar>
              <w:top w:w="0" w:type="dxa"/>
              <w:bottom w:w="0" w:type="dxa"/>
            </w:tcMar>
            <w:vAlign w:val="center"/>
          </w:tcPr>
          <w:p w14:paraId="755A4F4F" w14:textId="77777777" w:rsidR="009229E6"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4A1730D" w14:textId="77777777" w:rsidR="009229E6" w:rsidRDefault="00000000">
            <w:pPr>
              <w:keepNext/>
              <w:keepLines/>
              <w:spacing w:after="0" w:line="240" w:lineRule="auto"/>
            </w:pPr>
            <w:r>
              <w:rPr>
                <w:b/>
                <w:sz w:val="18"/>
              </w:rPr>
              <w:t>Y001</w:t>
            </w:r>
          </w:p>
        </w:tc>
        <w:tc>
          <w:tcPr>
            <w:tcW w:w="1860" w:type="dxa"/>
            <w:tcMar>
              <w:top w:w="0" w:type="dxa"/>
              <w:bottom w:w="0" w:type="dxa"/>
            </w:tcMar>
            <w:vAlign w:val="center"/>
          </w:tcPr>
          <w:p w14:paraId="60C77C2F" w14:textId="77777777" w:rsidR="009229E6" w:rsidRDefault="00000000">
            <w:pPr>
              <w:keepNext/>
              <w:keepLines/>
              <w:spacing w:after="0" w:line="240" w:lineRule="auto"/>
              <w:jc w:val="right"/>
            </w:pPr>
            <w:r>
              <w:rPr>
                <w:b/>
                <w:sz w:val="18"/>
              </w:rPr>
              <w:t>0,00</w:t>
            </w:r>
          </w:p>
        </w:tc>
        <w:tc>
          <w:tcPr>
            <w:tcW w:w="1860" w:type="dxa"/>
            <w:tcMar>
              <w:top w:w="0" w:type="dxa"/>
              <w:bottom w:w="0" w:type="dxa"/>
            </w:tcMar>
            <w:vAlign w:val="center"/>
          </w:tcPr>
          <w:p w14:paraId="5FF3F555" w14:textId="77777777" w:rsidR="009229E6" w:rsidRDefault="00000000">
            <w:pPr>
              <w:keepNext/>
              <w:keepLines/>
              <w:spacing w:after="0" w:line="240" w:lineRule="auto"/>
              <w:jc w:val="right"/>
            </w:pPr>
            <w:r>
              <w:rPr>
                <w:b/>
                <w:sz w:val="18"/>
              </w:rPr>
              <w:t>50.296,26</w:t>
            </w:r>
          </w:p>
        </w:tc>
        <w:tc>
          <w:tcPr>
            <w:tcW w:w="700" w:type="dxa"/>
            <w:tcMar>
              <w:top w:w="0" w:type="dxa"/>
              <w:bottom w:w="0" w:type="dxa"/>
            </w:tcMar>
            <w:vAlign w:val="center"/>
          </w:tcPr>
          <w:p w14:paraId="2D17AB0D" w14:textId="77777777" w:rsidR="009229E6" w:rsidRDefault="00000000">
            <w:pPr>
              <w:keepNext/>
              <w:keepLines/>
              <w:spacing w:after="0" w:line="240" w:lineRule="auto"/>
              <w:jc w:val="right"/>
            </w:pPr>
            <w:r>
              <w:rPr>
                <w:b/>
                <w:sz w:val="18"/>
              </w:rPr>
              <w:t>-</w:t>
            </w:r>
          </w:p>
        </w:tc>
      </w:tr>
      <w:tr w:rsidR="009229E6" w14:paraId="1DAA45EF" w14:textId="77777777">
        <w:tblPrEx>
          <w:tblCellMar>
            <w:top w:w="0" w:type="dxa"/>
            <w:bottom w:w="0" w:type="dxa"/>
          </w:tblCellMar>
        </w:tblPrEx>
        <w:trPr>
          <w:cantSplit/>
          <w:trHeight w:val="560"/>
        </w:trPr>
        <w:tc>
          <w:tcPr>
            <w:tcW w:w="700" w:type="dxa"/>
            <w:tcMar>
              <w:top w:w="0" w:type="dxa"/>
              <w:bottom w:w="0" w:type="dxa"/>
            </w:tcMar>
            <w:vAlign w:val="center"/>
          </w:tcPr>
          <w:p w14:paraId="159C3C23" w14:textId="77777777" w:rsidR="009229E6" w:rsidRDefault="00000000">
            <w:pPr>
              <w:keepNext/>
              <w:keepLines/>
              <w:spacing w:after="0" w:line="240" w:lineRule="auto"/>
            </w:pPr>
            <w:r>
              <w:rPr>
                <w:sz w:val="18"/>
              </w:rPr>
              <w:t>7</w:t>
            </w:r>
          </w:p>
        </w:tc>
        <w:tc>
          <w:tcPr>
            <w:tcW w:w="3180" w:type="dxa"/>
            <w:tcMar>
              <w:top w:w="0" w:type="dxa"/>
              <w:bottom w:w="0" w:type="dxa"/>
            </w:tcMar>
            <w:vAlign w:val="center"/>
          </w:tcPr>
          <w:p w14:paraId="25BBC683" w14:textId="77777777" w:rsidR="009229E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FBB4EC6" w14:textId="77777777" w:rsidR="009229E6" w:rsidRDefault="00000000">
            <w:pPr>
              <w:keepNext/>
              <w:keepLines/>
              <w:spacing w:after="0" w:line="240" w:lineRule="auto"/>
            </w:pPr>
            <w:r>
              <w:rPr>
                <w:sz w:val="18"/>
              </w:rPr>
              <w:t>7</w:t>
            </w:r>
          </w:p>
        </w:tc>
        <w:tc>
          <w:tcPr>
            <w:tcW w:w="1860" w:type="dxa"/>
            <w:tcMar>
              <w:top w:w="0" w:type="dxa"/>
              <w:bottom w:w="0" w:type="dxa"/>
            </w:tcMar>
            <w:vAlign w:val="center"/>
          </w:tcPr>
          <w:p w14:paraId="3FC9D89F"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3D882BAC"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2C002C25" w14:textId="77777777" w:rsidR="009229E6" w:rsidRDefault="00000000">
            <w:pPr>
              <w:keepNext/>
              <w:keepLines/>
              <w:spacing w:after="0" w:line="240" w:lineRule="auto"/>
              <w:jc w:val="right"/>
            </w:pPr>
            <w:r>
              <w:rPr>
                <w:sz w:val="18"/>
              </w:rPr>
              <w:t>-</w:t>
            </w:r>
          </w:p>
        </w:tc>
      </w:tr>
      <w:tr w:rsidR="009229E6" w14:paraId="0398B341" w14:textId="77777777">
        <w:tblPrEx>
          <w:tblCellMar>
            <w:top w:w="0" w:type="dxa"/>
            <w:bottom w:w="0" w:type="dxa"/>
          </w:tblCellMar>
        </w:tblPrEx>
        <w:trPr>
          <w:cantSplit/>
          <w:trHeight w:val="560"/>
        </w:trPr>
        <w:tc>
          <w:tcPr>
            <w:tcW w:w="700" w:type="dxa"/>
            <w:tcMar>
              <w:top w:w="0" w:type="dxa"/>
              <w:bottom w:w="0" w:type="dxa"/>
            </w:tcMar>
            <w:vAlign w:val="center"/>
          </w:tcPr>
          <w:p w14:paraId="2849A809" w14:textId="77777777" w:rsidR="009229E6" w:rsidRDefault="00000000">
            <w:pPr>
              <w:keepNext/>
              <w:keepLines/>
              <w:spacing w:after="0" w:line="240" w:lineRule="auto"/>
            </w:pPr>
            <w:r>
              <w:rPr>
                <w:sz w:val="18"/>
              </w:rPr>
              <w:t>4</w:t>
            </w:r>
          </w:p>
        </w:tc>
        <w:tc>
          <w:tcPr>
            <w:tcW w:w="3180" w:type="dxa"/>
            <w:tcMar>
              <w:top w:w="0" w:type="dxa"/>
              <w:bottom w:w="0" w:type="dxa"/>
            </w:tcMar>
            <w:vAlign w:val="center"/>
          </w:tcPr>
          <w:p w14:paraId="2CC01C51" w14:textId="77777777" w:rsidR="009229E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0B07FF" w14:textId="77777777" w:rsidR="009229E6" w:rsidRDefault="00000000">
            <w:pPr>
              <w:keepNext/>
              <w:keepLines/>
              <w:spacing w:after="0" w:line="240" w:lineRule="auto"/>
            </w:pPr>
            <w:r>
              <w:rPr>
                <w:sz w:val="18"/>
              </w:rPr>
              <w:t>4</w:t>
            </w:r>
          </w:p>
        </w:tc>
        <w:tc>
          <w:tcPr>
            <w:tcW w:w="1860" w:type="dxa"/>
            <w:tcMar>
              <w:top w:w="0" w:type="dxa"/>
              <w:bottom w:w="0" w:type="dxa"/>
            </w:tcMar>
            <w:vAlign w:val="center"/>
          </w:tcPr>
          <w:p w14:paraId="7F3EA0CB" w14:textId="77777777" w:rsidR="009229E6" w:rsidRDefault="00000000">
            <w:pPr>
              <w:keepNext/>
              <w:keepLines/>
              <w:spacing w:after="0" w:line="240" w:lineRule="auto"/>
              <w:jc w:val="right"/>
            </w:pPr>
            <w:r>
              <w:rPr>
                <w:sz w:val="18"/>
              </w:rPr>
              <w:t>48.532,77</w:t>
            </w:r>
          </w:p>
        </w:tc>
        <w:tc>
          <w:tcPr>
            <w:tcW w:w="1860" w:type="dxa"/>
            <w:tcMar>
              <w:top w:w="0" w:type="dxa"/>
              <w:bottom w:w="0" w:type="dxa"/>
            </w:tcMar>
            <w:vAlign w:val="center"/>
          </w:tcPr>
          <w:p w14:paraId="20AB7FD0" w14:textId="77777777" w:rsidR="009229E6" w:rsidRDefault="00000000">
            <w:pPr>
              <w:keepNext/>
              <w:keepLines/>
              <w:spacing w:after="0" w:line="240" w:lineRule="auto"/>
              <w:jc w:val="right"/>
            </w:pPr>
            <w:r>
              <w:rPr>
                <w:sz w:val="18"/>
              </w:rPr>
              <w:t>94.567,96</w:t>
            </w:r>
          </w:p>
        </w:tc>
        <w:tc>
          <w:tcPr>
            <w:tcW w:w="700" w:type="dxa"/>
            <w:tcMar>
              <w:top w:w="0" w:type="dxa"/>
              <w:bottom w:w="0" w:type="dxa"/>
            </w:tcMar>
            <w:vAlign w:val="center"/>
          </w:tcPr>
          <w:p w14:paraId="6E530FF9" w14:textId="77777777" w:rsidR="009229E6" w:rsidRDefault="00000000">
            <w:pPr>
              <w:keepNext/>
              <w:keepLines/>
              <w:spacing w:after="0" w:line="240" w:lineRule="auto"/>
              <w:jc w:val="right"/>
            </w:pPr>
            <w:r>
              <w:rPr>
                <w:sz w:val="18"/>
              </w:rPr>
              <w:t>194,9</w:t>
            </w:r>
          </w:p>
        </w:tc>
      </w:tr>
      <w:tr w:rsidR="009229E6" w14:paraId="78F352FA" w14:textId="77777777">
        <w:tblPrEx>
          <w:tblCellMar>
            <w:top w:w="0" w:type="dxa"/>
            <w:bottom w:w="0" w:type="dxa"/>
          </w:tblCellMar>
        </w:tblPrEx>
        <w:trPr>
          <w:cantSplit/>
          <w:trHeight w:val="560"/>
        </w:trPr>
        <w:tc>
          <w:tcPr>
            <w:tcW w:w="700" w:type="dxa"/>
            <w:tcMar>
              <w:top w:w="0" w:type="dxa"/>
              <w:bottom w:w="0" w:type="dxa"/>
            </w:tcMar>
            <w:vAlign w:val="center"/>
          </w:tcPr>
          <w:p w14:paraId="14217864" w14:textId="77777777" w:rsidR="009229E6" w:rsidRDefault="009229E6">
            <w:pPr>
              <w:keepNext/>
              <w:keepLines/>
              <w:spacing w:after="0" w:line="240" w:lineRule="auto"/>
            </w:pPr>
          </w:p>
        </w:tc>
        <w:tc>
          <w:tcPr>
            <w:tcW w:w="3180" w:type="dxa"/>
            <w:tcMar>
              <w:top w:w="0" w:type="dxa"/>
              <w:bottom w:w="0" w:type="dxa"/>
            </w:tcMar>
            <w:vAlign w:val="center"/>
          </w:tcPr>
          <w:p w14:paraId="63145B82" w14:textId="77777777" w:rsidR="009229E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F07797F" w14:textId="77777777" w:rsidR="009229E6" w:rsidRDefault="00000000">
            <w:pPr>
              <w:keepNext/>
              <w:keepLines/>
              <w:spacing w:after="0" w:line="240" w:lineRule="auto"/>
            </w:pPr>
            <w:r>
              <w:rPr>
                <w:b/>
                <w:sz w:val="18"/>
              </w:rPr>
              <w:t>Y002</w:t>
            </w:r>
          </w:p>
        </w:tc>
        <w:tc>
          <w:tcPr>
            <w:tcW w:w="1860" w:type="dxa"/>
            <w:tcMar>
              <w:top w:w="0" w:type="dxa"/>
              <w:bottom w:w="0" w:type="dxa"/>
            </w:tcMar>
            <w:vAlign w:val="center"/>
          </w:tcPr>
          <w:p w14:paraId="7CCCCCDB" w14:textId="77777777" w:rsidR="009229E6" w:rsidRDefault="00000000">
            <w:pPr>
              <w:keepNext/>
              <w:keepLines/>
              <w:spacing w:after="0" w:line="240" w:lineRule="auto"/>
              <w:jc w:val="right"/>
            </w:pPr>
            <w:r>
              <w:rPr>
                <w:b/>
                <w:sz w:val="18"/>
              </w:rPr>
              <w:t>48.532,77</w:t>
            </w:r>
          </w:p>
        </w:tc>
        <w:tc>
          <w:tcPr>
            <w:tcW w:w="1860" w:type="dxa"/>
            <w:tcMar>
              <w:top w:w="0" w:type="dxa"/>
              <w:bottom w:w="0" w:type="dxa"/>
            </w:tcMar>
            <w:vAlign w:val="center"/>
          </w:tcPr>
          <w:p w14:paraId="57DBF7F3" w14:textId="77777777" w:rsidR="009229E6" w:rsidRDefault="00000000">
            <w:pPr>
              <w:keepNext/>
              <w:keepLines/>
              <w:spacing w:after="0" w:line="240" w:lineRule="auto"/>
              <w:jc w:val="right"/>
            </w:pPr>
            <w:r>
              <w:rPr>
                <w:b/>
                <w:sz w:val="18"/>
              </w:rPr>
              <w:t>94.567,96</w:t>
            </w:r>
          </w:p>
        </w:tc>
        <w:tc>
          <w:tcPr>
            <w:tcW w:w="700" w:type="dxa"/>
            <w:tcMar>
              <w:top w:w="0" w:type="dxa"/>
              <w:bottom w:w="0" w:type="dxa"/>
            </w:tcMar>
            <w:vAlign w:val="center"/>
          </w:tcPr>
          <w:p w14:paraId="2CC41200" w14:textId="77777777" w:rsidR="009229E6" w:rsidRDefault="00000000">
            <w:pPr>
              <w:keepNext/>
              <w:keepLines/>
              <w:spacing w:after="0" w:line="240" w:lineRule="auto"/>
              <w:jc w:val="right"/>
            </w:pPr>
            <w:r>
              <w:rPr>
                <w:b/>
                <w:sz w:val="18"/>
              </w:rPr>
              <w:t>194,9</w:t>
            </w:r>
          </w:p>
        </w:tc>
      </w:tr>
      <w:tr w:rsidR="009229E6" w14:paraId="0BDBBDFF" w14:textId="77777777">
        <w:tblPrEx>
          <w:tblCellMar>
            <w:top w:w="0" w:type="dxa"/>
            <w:bottom w:w="0" w:type="dxa"/>
          </w:tblCellMar>
        </w:tblPrEx>
        <w:trPr>
          <w:cantSplit/>
          <w:trHeight w:val="560"/>
        </w:trPr>
        <w:tc>
          <w:tcPr>
            <w:tcW w:w="700" w:type="dxa"/>
            <w:tcMar>
              <w:top w:w="0" w:type="dxa"/>
              <w:bottom w:w="0" w:type="dxa"/>
            </w:tcMar>
            <w:vAlign w:val="center"/>
          </w:tcPr>
          <w:p w14:paraId="29C33DE1" w14:textId="77777777" w:rsidR="009229E6" w:rsidRDefault="00000000">
            <w:pPr>
              <w:keepNext/>
              <w:keepLines/>
              <w:spacing w:after="0" w:line="240" w:lineRule="auto"/>
            </w:pPr>
            <w:r>
              <w:rPr>
                <w:sz w:val="18"/>
              </w:rPr>
              <w:t>8</w:t>
            </w:r>
          </w:p>
        </w:tc>
        <w:tc>
          <w:tcPr>
            <w:tcW w:w="3180" w:type="dxa"/>
            <w:tcMar>
              <w:top w:w="0" w:type="dxa"/>
              <w:bottom w:w="0" w:type="dxa"/>
            </w:tcMar>
            <w:vAlign w:val="center"/>
          </w:tcPr>
          <w:p w14:paraId="42299A5C" w14:textId="77777777" w:rsidR="009229E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113890C" w14:textId="77777777" w:rsidR="009229E6" w:rsidRDefault="00000000">
            <w:pPr>
              <w:keepNext/>
              <w:keepLines/>
              <w:spacing w:after="0" w:line="240" w:lineRule="auto"/>
            </w:pPr>
            <w:r>
              <w:rPr>
                <w:sz w:val="18"/>
              </w:rPr>
              <w:t>8</w:t>
            </w:r>
          </w:p>
        </w:tc>
        <w:tc>
          <w:tcPr>
            <w:tcW w:w="1860" w:type="dxa"/>
            <w:tcMar>
              <w:top w:w="0" w:type="dxa"/>
              <w:bottom w:w="0" w:type="dxa"/>
            </w:tcMar>
            <w:vAlign w:val="center"/>
          </w:tcPr>
          <w:p w14:paraId="757D7217"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688EC94D"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48CD6D02" w14:textId="77777777" w:rsidR="009229E6" w:rsidRDefault="00000000">
            <w:pPr>
              <w:keepNext/>
              <w:keepLines/>
              <w:spacing w:after="0" w:line="240" w:lineRule="auto"/>
              <w:jc w:val="right"/>
            </w:pPr>
            <w:r>
              <w:rPr>
                <w:sz w:val="18"/>
              </w:rPr>
              <w:t>-</w:t>
            </w:r>
          </w:p>
        </w:tc>
      </w:tr>
      <w:tr w:rsidR="009229E6" w14:paraId="7C4B824C" w14:textId="77777777">
        <w:tblPrEx>
          <w:tblCellMar>
            <w:top w:w="0" w:type="dxa"/>
            <w:bottom w:w="0" w:type="dxa"/>
          </w:tblCellMar>
        </w:tblPrEx>
        <w:trPr>
          <w:cantSplit/>
          <w:trHeight w:val="560"/>
        </w:trPr>
        <w:tc>
          <w:tcPr>
            <w:tcW w:w="700" w:type="dxa"/>
            <w:tcMar>
              <w:top w:w="0" w:type="dxa"/>
              <w:bottom w:w="0" w:type="dxa"/>
            </w:tcMar>
            <w:vAlign w:val="center"/>
          </w:tcPr>
          <w:p w14:paraId="08149211" w14:textId="77777777" w:rsidR="009229E6" w:rsidRDefault="00000000">
            <w:pPr>
              <w:keepNext/>
              <w:keepLines/>
              <w:spacing w:after="0" w:line="240" w:lineRule="auto"/>
            </w:pPr>
            <w:r>
              <w:rPr>
                <w:sz w:val="18"/>
              </w:rPr>
              <w:t>5</w:t>
            </w:r>
          </w:p>
        </w:tc>
        <w:tc>
          <w:tcPr>
            <w:tcW w:w="3180" w:type="dxa"/>
            <w:tcMar>
              <w:top w:w="0" w:type="dxa"/>
              <w:bottom w:w="0" w:type="dxa"/>
            </w:tcMar>
            <w:vAlign w:val="center"/>
          </w:tcPr>
          <w:p w14:paraId="18345305" w14:textId="77777777" w:rsidR="009229E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A61AD2D" w14:textId="77777777" w:rsidR="009229E6" w:rsidRDefault="00000000">
            <w:pPr>
              <w:keepNext/>
              <w:keepLines/>
              <w:spacing w:after="0" w:line="240" w:lineRule="auto"/>
            </w:pPr>
            <w:r>
              <w:rPr>
                <w:sz w:val="18"/>
              </w:rPr>
              <w:t>5</w:t>
            </w:r>
          </w:p>
        </w:tc>
        <w:tc>
          <w:tcPr>
            <w:tcW w:w="1860" w:type="dxa"/>
            <w:tcMar>
              <w:top w:w="0" w:type="dxa"/>
              <w:bottom w:w="0" w:type="dxa"/>
            </w:tcMar>
            <w:vAlign w:val="center"/>
          </w:tcPr>
          <w:p w14:paraId="003D6055"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4DA54D35"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598FCA2A" w14:textId="77777777" w:rsidR="009229E6" w:rsidRDefault="00000000">
            <w:pPr>
              <w:keepNext/>
              <w:keepLines/>
              <w:spacing w:after="0" w:line="240" w:lineRule="auto"/>
              <w:jc w:val="right"/>
            </w:pPr>
            <w:r>
              <w:rPr>
                <w:sz w:val="18"/>
              </w:rPr>
              <w:t>-</w:t>
            </w:r>
          </w:p>
        </w:tc>
      </w:tr>
      <w:tr w:rsidR="009229E6" w14:paraId="1864CF4A" w14:textId="77777777">
        <w:tblPrEx>
          <w:tblCellMar>
            <w:top w:w="0" w:type="dxa"/>
            <w:bottom w:w="0" w:type="dxa"/>
          </w:tblCellMar>
        </w:tblPrEx>
        <w:trPr>
          <w:cantSplit/>
          <w:trHeight w:val="560"/>
        </w:trPr>
        <w:tc>
          <w:tcPr>
            <w:tcW w:w="700" w:type="dxa"/>
            <w:tcMar>
              <w:top w:w="0" w:type="dxa"/>
              <w:bottom w:w="0" w:type="dxa"/>
            </w:tcMar>
            <w:vAlign w:val="center"/>
          </w:tcPr>
          <w:p w14:paraId="77D2A407" w14:textId="77777777" w:rsidR="009229E6" w:rsidRDefault="009229E6">
            <w:pPr>
              <w:keepNext/>
              <w:keepLines/>
              <w:spacing w:after="0" w:line="240" w:lineRule="auto"/>
            </w:pPr>
          </w:p>
        </w:tc>
        <w:tc>
          <w:tcPr>
            <w:tcW w:w="3180" w:type="dxa"/>
            <w:tcMar>
              <w:top w:w="0" w:type="dxa"/>
              <w:bottom w:w="0" w:type="dxa"/>
            </w:tcMar>
            <w:vAlign w:val="center"/>
          </w:tcPr>
          <w:p w14:paraId="66EB9BA6" w14:textId="77777777" w:rsidR="009229E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7BF19ED" w14:textId="77777777" w:rsidR="009229E6" w:rsidRDefault="00000000">
            <w:pPr>
              <w:keepNext/>
              <w:keepLines/>
              <w:spacing w:after="0" w:line="240" w:lineRule="auto"/>
            </w:pPr>
            <w:r>
              <w:rPr>
                <w:b/>
                <w:sz w:val="18"/>
              </w:rPr>
              <w:t>X003, Y003</w:t>
            </w:r>
          </w:p>
        </w:tc>
        <w:tc>
          <w:tcPr>
            <w:tcW w:w="1860" w:type="dxa"/>
            <w:tcMar>
              <w:top w:w="0" w:type="dxa"/>
              <w:bottom w:w="0" w:type="dxa"/>
            </w:tcMar>
            <w:vAlign w:val="center"/>
          </w:tcPr>
          <w:p w14:paraId="79528524" w14:textId="77777777" w:rsidR="009229E6" w:rsidRDefault="00000000">
            <w:pPr>
              <w:keepNext/>
              <w:keepLines/>
              <w:spacing w:after="0" w:line="240" w:lineRule="auto"/>
              <w:jc w:val="right"/>
            </w:pPr>
            <w:r>
              <w:rPr>
                <w:b/>
                <w:sz w:val="18"/>
              </w:rPr>
              <w:t>0,00</w:t>
            </w:r>
          </w:p>
        </w:tc>
        <w:tc>
          <w:tcPr>
            <w:tcW w:w="1860" w:type="dxa"/>
            <w:tcMar>
              <w:top w:w="0" w:type="dxa"/>
              <w:bottom w:w="0" w:type="dxa"/>
            </w:tcMar>
            <w:vAlign w:val="center"/>
          </w:tcPr>
          <w:p w14:paraId="6DCAB395" w14:textId="77777777" w:rsidR="009229E6" w:rsidRDefault="00000000">
            <w:pPr>
              <w:keepNext/>
              <w:keepLines/>
              <w:spacing w:after="0" w:line="240" w:lineRule="auto"/>
              <w:jc w:val="right"/>
            </w:pPr>
            <w:r>
              <w:rPr>
                <w:b/>
                <w:sz w:val="18"/>
              </w:rPr>
              <w:t>0,00</w:t>
            </w:r>
          </w:p>
        </w:tc>
        <w:tc>
          <w:tcPr>
            <w:tcW w:w="700" w:type="dxa"/>
            <w:tcMar>
              <w:top w:w="0" w:type="dxa"/>
              <w:bottom w:w="0" w:type="dxa"/>
            </w:tcMar>
            <w:vAlign w:val="center"/>
          </w:tcPr>
          <w:p w14:paraId="14583E90" w14:textId="77777777" w:rsidR="009229E6" w:rsidRDefault="00000000">
            <w:pPr>
              <w:keepNext/>
              <w:keepLines/>
              <w:spacing w:after="0" w:line="240" w:lineRule="auto"/>
              <w:jc w:val="right"/>
            </w:pPr>
            <w:r>
              <w:rPr>
                <w:b/>
                <w:sz w:val="18"/>
              </w:rPr>
              <w:t>-</w:t>
            </w:r>
          </w:p>
        </w:tc>
      </w:tr>
      <w:tr w:rsidR="009229E6" w14:paraId="5701BB3D" w14:textId="77777777">
        <w:tblPrEx>
          <w:tblCellMar>
            <w:top w:w="0" w:type="dxa"/>
            <w:bottom w:w="0" w:type="dxa"/>
          </w:tblCellMar>
        </w:tblPrEx>
        <w:trPr>
          <w:cantSplit/>
          <w:trHeight w:val="560"/>
        </w:trPr>
        <w:tc>
          <w:tcPr>
            <w:tcW w:w="700" w:type="dxa"/>
            <w:tcMar>
              <w:top w:w="0" w:type="dxa"/>
              <w:bottom w:w="0" w:type="dxa"/>
            </w:tcMar>
            <w:vAlign w:val="center"/>
          </w:tcPr>
          <w:p w14:paraId="6E710D77" w14:textId="77777777" w:rsidR="009229E6" w:rsidRDefault="009229E6">
            <w:pPr>
              <w:keepNext/>
              <w:keepLines/>
              <w:spacing w:after="0" w:line="240" w:lineRule="auto"/>
            </w:pPr>
          </w:p>
        </w:tc>
        <w:tc>
          <w:tcPr>
            <w:tcW w:w="3180" w:type="dxa"/>
            <w:tcMar>
              <w:top w:w="0" w:type="dxa"/>
              <w:bottom w:w="0" w:type="dxa"/>
            </w:tcMar>
            <w:vAlign w:val="center"/>
          </w:tcPr>
          <w:p w14:paraId="021E884B" w14:textId="77777777" w:rsidR="009229E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85F54AC" w14:textId="77777777" w:rsidR="009229E6" w:rsidRDefault="00000000">
            <w:pPr>
              <w:keepNext/>
              <w:keepLines/>
              <w:spacing w:after="0" w:line="240" w:lineRule="auto"/>
            </w:pPr>
            <w:r>
              <w:rPr>
                <w:b/>
                <w:sz w:val="18"/>
              </w:rPr>
              <w:t>Y005</w:t>
            </w:r>
          </w:p>
        </w:tc>
        <w:tc>
          <w:tcPr>
            <w:tcW w:w="1860" w:type="dxa"/>
            <w:tcMar>
              <w:top w:w="0" w:type="dxa"/>
              <w:bottom w:w="0" w:type="dxa"/>
            </w:tcMar>
            <w:vAlign w:val="center"/>
          </w:tcPr>
          <w:p w14:paraId="2C4049DE" w14:textId="77777777" w:rsidR="009229E6" w:rsidRDefault="00000000">
            <w:pPr>
              <w:keepNext/>
              <w:keepLines/>
              <w:spacing w:after="0" w:line="240" w:lineRule="auto"/>
              <w:jc w:val="right"/>
            </w:pPr>
            <w:r>
              <w:rPr>
                <w:b/>
                <w:sz w:val="18"/>
              </w:rPr>
              <w:t>0,00</w:t>
            </w:r>
          </w:p>
        </w:tc>
        <w:tc>
          <w:tcPr>
            <w:tcW w:w="1860" w:type="dxa"/>
            <w:tcMar>
              <w:top w:w="0" w:type="dxa"/>
              <w:bottom w:w="0" w:type="dxa"/>
            </w:tcMar>
            <w:vAlign w:val="center"/>
          </w:tcPr>
          <w:p w14:paraId="395E8C09" w14:textId="77777777" w:rsidR="009229E6" w:rsidRDefault="00000000">
            <w:pPr>
              <w:keepNext/>
              <w:keepLines/>
              <w:spacing w:after="0" w:line="240" w:lineRule="auto"/>
              <w:jc w:val="right"/>
            </w:pPr>
            <w:r>
              <w:rPr>
                <w:b/>
                <w:sz w:val="18"/>
              </w:rPr>
              <w:t>144.864,22</w:t>
            </w:r>
          </w:p>
        </w:tc>
        <w:tc>
          <w:tcPr>
            <w:tcW w:w="700" w:type="dxa"/>
            <w:tcMar>
              <w:top w:w="0" w:type="dxa"/>
              <w:bottom w:w="0" w:type="dxa"/>
            </w:tcMar>
            <w:vAlign w:val="center"/>
          </w:tcPr>
          <w:p w14:paraId="7B2F0C8F" w14:textId="77777777" w:rsidR="009229E6" w:rsidRDefault="00000000">
            <w:pPr>
              <w:keepNext/>
              <w:keepLines/>
              <w:spacing w:after="0" w:line="240" w:lineRule="auto"/>
              <w:jc w:val="right"/>
            </w:pPr>
            <w:r>
              <w:rPr>
                <w:b/>
                <w:sz w:val="18"/>
              </w:rPr>
              <w:t>-</w:t>
            </w:r>
          </w:p>
        </w:tc>
      </w:tr>
    </w:tbl>
    <w:p w14:paraId="78790593" w14:textId="77777777" w:rsidR="009229E6" w:rsidRDefault="009229E6">
      <w:pPr>
        <w:spacing w:after="0"/>
      </w:pPr>
    </w:p>
    <w:p w14:paraId="55D7C041" w14:textId="77777777" w:rsidR="009229E6" w:rsidRDefault="00000000">
      <w:r>
        <w:t>U razdoblju od 1. siječnja do 31. prosinca 2025. godine ostvareni su prihodi poslovanja u iznosu od 838.829,73 eura. Ostvareni prihodi naplaćeni su u izvještajnom razdoblju i bili su raspoloživi. Ostalih prihoda i primitaka tijekom 2025. godine nije bilo.</w:t>
      </w:r>
    </w:p>
    <w:p w14:paraId="50F74E29" w14:textId="77777777" w:rsidR="009229E6" w:rsidRDefault="00000000">
      <w:r>
        <w:lastRenderedPageBreak/>
        <w:t>Rashodi poslovanja viši su za 50.296,26 eura od ostvarenih prihoda, a ostvaren je i manjak prihoda od nefinancijske imovine u iznosu od 94.567,96 eura te ukupan manjak prihoda i primitaka iznosi 144.864,22 eura.</w:t>
      </w:r>
    </w:p>
    <w:p w14:paraId="3A7E5ED9" w14:textId="77777777" w:rsidR="009229E6" w:rsidRDefault="00000000">
      <w:r>
        <w:t>Pokriće iskazanog manjka osigurano je iz ostvarenog viška iz prethodnih razdoblja.</w:t>
      </w:r>
    </w:p>
    <w:p w14:paraId="1D099083" w14:textId="77777777" w:rsidR="009229E6" w:rsidRDefault="00000000">
      <w:r>
        <w:t> </w:t>
      </w:r>
    </w:p>
    <w:p w14:paraId="12F9B7BA" w14:textId="77777777" w:rsidR="009229E6" w:rsidRDefault="00000000">
      <w:r>
        <w:br/>
      </w:r>
    </w:p>
    <w:p w14:paraId="110A0EA6" w14:textId="77777777" w:rsidR="009229E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24966F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E0B2FF"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FBF6C"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F6375"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75573"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55DD5D"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A28A7" w14:textId="77777777" w:rsidR="009229E6" w:rsidRDefault="00000000">
            <w:pPr>
              <w:keepNext/>
              <w:keepLines/>
              <w:spacing w:after="0" w:line="240" w:lineRule="auto"/>
              <w:jc w:val="center"/>
            </w:pPr>
            <w:r>
              <w:rPr>
                <w:b/>
                <w:sz w:val="18"/>
              </w:rPr>
              <w:t>Indeks (%)</w:t>
            </w:r>
          </w:p>
        </w:tc>
      </w:tr>
      <w:tr w:rsidR="009229E6" w14:paraId="4877639C" w14:textId="77777777">
        <w:tblPrEx>
          <w:tblCellMar>
            <w:top w:w="0" w:type="dxa"/>
            <w:bottom w:w="0" w:type="dxa"/>
          </w:tblCellMar>
        </w:tblPrEx>
        <w:trPr>
          <w:cantSplit/>
          <w:trHeight w:val="560"/>
        </w:trPr>
        <w:tc>
          <w:tcPr>
            <w:tcW w:w="700" w:type="dxa"/>
            <w:tcMar>
              <w:top w:w="0" w:type="dxa"/>
              <w:bottom w:w="0" w:type="dxa"/>
            </w:tcMar>
            <w:vAlign w:val="center"/>
          </w:tcPr>
          <w:p w14:paraId="3A4AE85B" w14:textId="77777777" w:rsidR="009229E6" w:rsidRDefault="00000000">
            <w:pPr>
              <w:keepNext/>
              <w:keepLines/>
              <w:spacing w:after="0" w:line="240" w:lineRule="auto"/>
            </w:pPr>
            <w:r>
              <w:rPr>
                <w:sz w:val="18"/>
              </w:rPr>
              <w:t>6</w:t>
            </w:r>
          </w:p>
        </w:tc>
        <w:tc>
          <w:tcPr>
            <w:tcW w:w="3180" w:type="dxa"/>
            <w:tcMar>
              <w:top w:w="0" w:type="dxa"/>
              <w:bottom w:w="0" w:type="dxa"/>
            </w:tcMar>
            <w:vAlign w:val="center"/>
          </w:tcPr>
          <w:p w14:paraId="66C0B456" w14:textId="77777777" w:rsidR="009229E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9D339D0" w14:textId="77777777" w:rsidR="009229E6" w:rsidRDefault="00000000">
            <w:pPr>
              <w:keepNext/>
              <w:keepLines/>
              <w:spacing w:after="0" w:line="240" w:lineRule="auto"/>
            </w:pPr>
            <w:r>
              <w:rPr>
                <w:sz w:val="18"/>
              </w:rPr>
              <w:t>6</w:t>
            </w:r>
          </w:p>
        </w:tc>
        <w:tc>
          <w:tcPr>
            <w:tcW w:w="1860" w:type="dxa"/>
            <w:tcMar>
              <w:top w:w="0" w:type="dxa"/>
              <w:bottom w:w="0" w:type="dxa"/>
            </w:tcMar>
            <w:vAlign w:val="center"/>
          </w:tcPr>
          <w:p w14:paraId="075D89A1" w14:textId="77777777" w:rsidR="009229E6" w:rsidRDefault="00000000">
            <w:pPr>
              <w:keepNext/>
              <w:keepLines/>
              <w:spacing w:after="0" w:line="240" w:lineRule="auto"/>
              <w:jc w:val="right"/>
            </w:pPr>
            <w:r>
              <w:rPr>
                <w:sz w:val="18"/>
              </w:rPr>
              <w:t>986.281,62</w:t>
            </w:r>
          </w:p>
        </w:tc>
        <w:tc>
          <w:tcPr>
            <w:tcW w:w="1860" w:type="dxa"/>
            <w:tcMar>
              <w:top w:w="0" w:type="dxa"/>
              <w:bottom w:w="0" w:type="dxa"/>
            </w:tcMar>
            <w:vAlign w:val="center"/>
          </w:tcPr>
          <w:p w14:paraId="2A758748" w14:textId="77777777" w:rsidR="009229E6" w:rsidRDefault="00000000">
            <w:pPr>
              <w:keepNext/>
              <w:keepLines/>
              <w:spacing w:after="0" w:line="240" w:lineRule="auto"/>
              <w:jc w:val="right"/>
            </w:pPr>
            <w:r>
              <w:rPr>
                <w:sz w:val="18"/>
              </w:rPr>
              <w:t>838.829,73</w:t>
            </w:r>
          </w:p>
        </w:tc>
        <w:tc>
          <w:tcPr>
            <w:tcW w:w="700" w:type="dxa"/>
            <w:tcMar>
              <w:top w:w="0" w:type="dxa"/>
              <w:bottom w:w="0" w:type="dxa"/>
            </w:tcMar>
            <w:vAlign w:val="center"/>
          </w:tcPr>
          <w:p w14:paraId="79D3ABEC" w14:textId="77777777" w:rsidR="009229E6" w:rsidRDefault="00000000">
            <w:pPr>
              <w:keepNext/>
              <w:keepLines/>
              <w:spacing w:after="0" w:line="240" w:lineRule="auto"/>
              <w:jc w:val="right"/>
            </w:pPr>
            <w:r>
              <w:rPr>
                <w:sz w:val="18"/>
              </w:rPr>
              <w:t>85,0</w:t>
            </w:r>
          </w:p>
        </w:tc>
      </w:tr>
    </w:tbl>
    <w:p w14:paraId="273540A6" w14:textId="77777777" w:rsidR="009229E6" w:rsidRDefault="009229E6">
      <w:pPr>
        <w:spacing w:after="0"/>
      </w:pPr>
    </w:p>
    <w:p w14:paraId="40FDE623" w14:textId="77777777" w:rsidR="009229E6" w:rsidRDefault="00000000">
      <w:r>
        <w:t>U odnosu na izvještajno razdoblje prethodne godine prihodi od poslovanja niži su za 15,00 %.  Razlika je nastala zbog ostvarenja nižih prihoda  od pomoći iz inozemstva i od subjekata unutar općeg proračuna za sufinanciranje provedbe EU projekata.</w:t>
      </w:r>
    </w:p>
    <w:p w14:paraId="6772B1A4" w14:textId="77777777" w:rsidR="009229E6" w:rsidRDefault="009229E6"/>
    <w:p w14:paraId="3615D41E" w14:textId="77777777" w:rsidR="009229E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454FE1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77602E"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1CA62"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DED3C"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31C9E"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DC31F"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D3617E" w14:textId="77777777" w:rsidR="009229E6" w:rsidRDefault="00000000">
            <w:pPr>
              <w:keepNext/>
              <w:keepLines/>
              <w:spacing w:after="0" w:line="240" w:lineRule="auto"/>
              <w:jc w:val="center"/>
            </w:pPr>
            <w:r>
              <w:rPr>
                <w:b/>
                <w:sz w:val="18"/>
              </w:rPr>
              <w:t>Indeks (%)</w:t>
            </w:r>
          </w:p>
        </w:tc>
      </w:tr>
      <w:tr w:rsidR="009229E6" w14:paraId="6D5BFFB2" w14:textId="77777777">
        <w:tblPrEx>
          <w:tblCellMar>
            <w:top w:w="0" w:type="dxa"/>
            <w:bottom w:w="0" w:type="dxa"/>
          </w:tblCellMar>
        </w:tblPrEx>
        <w:trPr>
          <w:cantSplit/>
          <w:trHeight w:val="560"/>
        </w:trPr>
        <w:tc>
          <w:tcPr>
            <w:tcW w:w="700" w:type="dxa"/>
            <w:tcMar>
              <w:top w:w="0" w:type="dxa"/>
              <w:bottom w:w="0" w:type="dxa"/>
            </w:tcMar>
            <w:vAlign w:val="center"/>
          </w:tcPr>
          <w:p w14:paraId="248938AC" w14:textId="77777777" w:rsidR="009229E6" w:rsidRDefault="00000000">
            <w:pPr>
              <w:keepNext/>
              <w:keepLines/>
              <w:spacing w:after="0" w:line="240" w:lineRule="auto"/>
            </w:pPr>
            <w:r>
              <w:rPr>
                <w:sz w:val="18"/>
              </w:rPr>
              <w:t>636</w:t>
            </w:r>
          </w:p>
        </w:tc>
        <w:tc>
          <w:tcPr>
            <w:tcW w:w="3180" w:type="dxa"/>
            <w:tcMar>
              <w:top w:w="0" w:type="dxa"/>
              <w:bottom w:w="0" w:type="dxa"/>
            </w:tcMar>
            <w:vAlign w:val="center"/>
          </w:tcPr>
          <w:p w14:paraId="3F4FD8EE" w14:textId="77777777" w:rsidR="009229E6"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541F002" w14:textId="77777777" w:rsidR="009229E6" w:rsidRDefault="00000000">
            <w:pPr>
              <w:keepNext/>
              <w:keepLines/>
              <w:spacing w:after="0" w:line="240" w:lineRule="auto"/>
            </w:pPr>
            <w:r>
              <w:rPr>
                <w:sz w:val="18"/>
              </w:rPr>
              <w:t>636</w:t>
            </w:r>
          </w:p>
        </w:tc>
        <w:tc>
          <w:tcPr>
            <w:tcW w:w="1860" w:type="dxa"/>
            <w:tcMar>
              <w:top w:w="0" w:type="dxa"/>
              <w:bottom w:w="0" w:type="dxa"/>
            </w:tcMar>
            <w:vAlign w:val="center"/>
          </w:tcPr>
          <w:p w14:paraId="7DA17CDA" w14:textId="77777777" w:rsidR="009229E6" w:rsidRDefault="00000000">
            <w:pPr>
              <w:keepNext/>
              <w:keepLines/>
              <w:spacing w:after="0" w:line="240" w:lineRule="auto"/>
              <w:jc w:val="right"/>
            </w:pPr>
            <w:r>
              <w:rPr>
                <w:sz w:val="18"/>
              </w:rPr>
              <w:t>17.404,04</w:t>
            </w:r>
          </w:p>
        </w:tc>
        <w:tc>
          <w:tcPr>
            <w:tcW w:w="1860" w:type="dxa"/>
            <w:tcMar>
              <w:top w:w="0" w:type="dxa"/>
              <w:bottom w:w="0" w:type="dxa"/>
            </w:tcMar>
            <w:vAlign w:val="center"/>
          </w:tcPr>
          <w:p w14:paraId="373FA86A"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202CAFAB" w14:textId="77777777" w:rsidR="009229E6" w:rsidRDefault="00000000">
            <w:pPr>
              <w:keepNext/>
              <w:keepLines/>
              <w:spacing w:after="0" w:line="240" w:lineRule="auto"/>
              <w:jc w:val="right"/>
            </w:pPr>
            <w:r>
              <w:rPr>
                <w:sz w:val="18"/>
              </w:rPr>
              <w:t>0</w:t>
            </w:r>
          </w:p>
        </w:tc>
      </w:tr>
    </w:tbl>
    <w:p w14:paraId="7D6D41ED" w14:textId="77777777" w:rsidR="009229E6" w:rsidRDefault="009229E6">
      <w:pPr>
        <w:spacing w:after="0"/>
      </w:pPr>
    </w:p>
    <w:p w14:paraId="63872173" w14:textId="77777777" w:rsidR="009229E6" w:rsidRDefault="00000000">
      <w:r>
        <w:t>U izvještajnom razdoblju nije bilo ostvarenih prihoda s osnove tekućih pomoći korisnicima proračuna iz proračuna koji im nije nadležan, dok su u izvještajnom razdoblju prethodne godine zaprimljena sredstva od Ministarstva regionalnog razvoja i fondova Europske unije. Sredstva su bila uplaćena temeljem Odluke o sufinanciranju provedbe EU projekata, od 12. rujna 2019., a dodijeljena su radi sufinanciranja dijela sredstava, koje je JURA trebala sama osigurati za sufinanciranje provedbe projekta „Suradnja za razvoj“.</w:t>
      </w:r>
    </w:p>
    <w:p w14:paraId="521B1876" w14:textId="77777777" w:rsidR="009229E6" w:rsidRDefault="009229E6"/>
    <w:p w14:paraId="74863EFB" w14:textId="77777777" w:rsidR="009229E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386910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B1466"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A7893"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09259"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EB05E0"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4D15ED"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EFDBC" w14:textId="77777777" w:rsidR="009229E6" w:rsidRDefault="00000000">
            <w:pPr>
              <w:keepNext/>
              <w:keepLines/>
              <w:spacing w:after="0" w:line="240" w:lineRule="auto"/>
              <w:jc w:val="center"/>
            </w:pPr>
            <w:r>
              <w:rPr>
                <w:b/>
                <w:sz w:val="18"/>
              </w:rPr>
              <w:t>Indeks (%)</w:t>
            </w:r>
          </w:p>
        </w:tc>
      </w:tr>
      <w:tr w:rsidR="009229E6" w14:paraId="3EEB0D1C" w14:textId="77777777">
        <w:tblPrEx>
          <w:tblCellMar>
            <w:top w:w="0" w:type="dxa"/>
            <w:bottom w:w="0" w:type="dxa"/>
          </w:tblCellMar>
        </w:tblPrEx>
        <w:trPr>
          <w:cantSplit/>
          <w:trHeight w:val="560"/>
        </w:trPr>
        <w:tc>
          <w:tcPr>
            <w:tcW w:w="700" w:type="dxa"/>
            <w:tcMar>
              <w:top w:w="0" w:type="dxa"/>
              <w:bottom w:w="0" w:type="dxa"/>
            </w:tcMar>
            <w:vAlign w:val="center"/>
          </w:tcPr>
          <w:p w14:paraId="31BB4936" w14:textId="77777777" w:rsidR="009229E6" w:rsidRDefault="00000000">
            <w:pPr>
              <w:keepNext/>
              <w:keepLines/>
              <w:spacing w:after="0" w:line="240" w:lineRule="auto"/>
            </w:pPr>
            <w:r>
              <w:rPr>
                <w:sz w:val="18"/>
              </w:rPr>
              <w:t>638</w:t>
            </w:r>
          </w:p>
        </w:tc>
        <w:tc>
          <w:tcPr>
            <w:tcW w:w="3180" w:type="dxa"/>
            <w:tcMar>
              <w:top w:w="0" w:type="dxa"/>
              <w:bottom w:w="0" w:type="dxa"/>
            </w:tcMar>
            <w:vAlign w:val="center"/>
          </w:tcPr>
          <w:p w14:paraId="78F472C8" w14:textId="77777777" w:rsidR="009229E6"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54E45E83" w14:textId="77777777" w:rsidR="009229E6" w:rsidRDefault="00000000">
            <w:pPr>
              <w:keepNext/>
              <w:keepLines/>
              <w:spacing w:after="0" w:line="240" w:lineRule="auto"/>
            </w:pPr>
            <w:r>
              <w:rPr>
                <w:sz w:val="18"/>
              </w:rPr>
              <w:t>638</w:t>
            </w:r>
          </w:p>
        </w:tc>
        <w:tc>
          <w:tcPr>
            <w:tcW w:w="1860" w:type="dxa"/>
            <w:tcMar>
              <w:top w:w="0" w:type="dxa"/>
              <w:bottom w:w="0" w:type="dxa"/>
            </w:tcMar>
            <w:vAlign w:val="center"/>
          </w:tcPr>
          <w:p w14:paraId="580AAB2B" w14:textId="77777777" w:rsidR="009229E6" w:rsidRDefault="00000000">
            <w:pPr>
              <w:keepNext/>
              <w:keepLines/>
              <w:spacing w:after="0" w:line="240" w:lineRule="auto"/>
              <w:jc w:val="right"/>
            </w:pPr>
            <w:r>
              <w:rPr>
                <w:sz w:val="18"/>
              </w:rPr>
              <w:t>484.388,85</w:t>
            </w:r>
          </w:p>
        </w:tc>
        <w:tc>
          <w:tcPr>
            <w:tcW w:w="1860" w:type="dxa"/>
            <w:tcMar>
              <w:top w:w="0" w:type="dxa"/>
              <w:bottom w:w="0" w:type="dxa"/>
            </w:tcMar>
            <w:vAlign w:val="center"/>
          </w:tcPr>
          <w:p w14:paraId="2C5579D2" w14:textId="77777777" w:rsidR="009229E6" w:rsidRDefault="00000000">
            <w:pPr>
              <w:keepNext/>
              <w:keepLines/>
              <w:spacing w:after="0" w:line="240" w:lineRule="auto"/>
              <w:jc w:val="right"/>
            </w:pPr>
            <w:r>
              <w:rPr>
                <w:sz w:val="18"/>
              </w:rPr>
              <w:t>338.865,17</w:t>
            </w:r>
          </w:p>
        </w:tc>
        <w:tc>
          <w:tcPr>
            <w:tcW w:w="700" w:type="dxa"/>
            <w:tcMar>
              <w:top w:w="0" w:type="dxa"/>
              <w:bottom w:w="0" w:type="dxa"/>
            </w:tcMar>
            <w:vAlign w:val="center"/>
          </w:tcPr>
          <w:p w14:paraId="662F4806" w14:textId="77777777" w:rsidR="009229E6" w:rsidRDefault="00000000">
            <w:pPr>
              <w:keepNext/>
              <w:keepLines/>
              <w:spacing w:after="0" w:line="240" w:lineRule="auto"/>
              <w:jc w:val="right"/>
            </w:pPr>
            <w:r>
              <w:rPr>
                <w:sz w:val="18"/>
              </w:rPr>
              <w:t>70,0</w:t>
            </w:r>
          </w:p>
        </w:tc>
      </w:tr>
    </w:tbl>
    <w:p w14:paraId="5A62B978" w14:textId="77777777" w:rsidR="009229E6" w:rsidRDefault="009229E6">
      <w:pPr>
        <w:spacing w:after="0"/>
      </w:pPr>
    </w:p>
    <w:p w14:paraId="187229AE" w14:textId="77777777" w:rsidR="009229E6" w:rsidRDefault="00000000">
      <w:r>
        <w:t xml:space="preserve">Ostvaren je prihod u svoti od 338.865,17 eura. Isti je namijenjen provedbi projekta „Tehnička pomoć javno pravnim tijelima“, koji je s provedbom započeo 2024. godine.  Ostvareni prihodi </w:t>
      </w:r>
      <w:r>
        <w:lastRenderedPageBreak/>
        <w:t xml:space="preserve">namijenjeni su isključivo podmirenju troškova zaposlenih (bruto </w:t>
      </w:r>
      <w:proofErr w:type="spellStart"/>
      <w:r>
        <w:t>plaća+doprinosi</w:t>
      </w:r>
      <w:proofErr w:type="spellEnd"/>
      <w:r>
        <w:t xml:space="preserve"> na plaću). U odnosu na izvještajno razdoblje prethodne godine ostvareno je 30,00 % manje prihoda od pomoći temeljem prijenosa EU sredstva.  Dinamika ostvarenih prihoda na ovoj poziciji ovisi o dinamici odobravanja zahtjeva za nadoknadom sredstava namijenjenih sufinanciranju rashoda u fazi provedbe projekata, dinamici isplata te broju projekata koji su bili ili jesu u provedbi.</w:t>
      </w:r>
    </w:p>
    <w:p w14:paraId="6EB5C011" w14:textId="77777777" w:rsidR="009229E6" w:rsidRDefault="00000000">
      <w:r>
        <w:t> </w:t>
      </w:r>
    </w:p>
    <w:p w14:paraId="4D962D6F" w14:textId="77777777" w:rsidR="009229E6" w:rsidRDefault="009229E6"/>
    <w:p w14:paraId="1559CC79" w14:textId="77777777" w:rsidR="009229E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1EFC44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60CEF"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2AF188"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80DDE7"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CDA52F"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46D3BD"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35E76E" w14:textId="77777777" w:rsidR="009229E6" w:rsidRDefault="00000000">
            <w:pPr>
              <w:keepNext/>
              <w:keepLines/>
              <w:spacing w:after="0" w:line="240" w:lineRule="auto"/>
              <w:jc w:val="center"/>
            </w:pPr>
            <w:r>
              <w:rPr>
                <w:b/>
                <w:sz w:val="18"/>
              </w:rPr>
              <w:t>Indeks (%)</w:t>
            </w:r>
          </w:p>
        </w:tc>
      </w:tr>
      <w:tr w:rsidR="009229E6" w14:paraId="025FA527" w14:textId="77777777">
        <w:tblPrEx>
          <w:tblCellMar>
            <w:top w:w="0" w:type="dxa"/>
            <w:bottom w:w="0" w:type="dxa"/>
          </w:tblCellMar>
        </w:tblPrEx>
        <w:trPr>
          <w:cantSplit/>
          <w:trHeight w:val="560"/>
        </w:trPr>
        <w:tc>
          <w:tcPr>
            <w:tcW w:w="700" w:type="dxa"/>
            <w:tcMar>
              <w:top w:w="0" w:type="dxa"/>
              <w:bottom w:w="0" w:type="dxa"/>
            </w:tcMar>
            <w:vAlign w:val="center"/>
          </w:tcPr>
          <w:p w14:paraId="4EE7234A" w14:textId="77777777" w:rsidR="009229E6" w:rsidRDefault="00000000">
            <w:pPr>
              <w:keepNext/>
              <w:keepLines/>
              <w:spacing w:after="0" w:line="240" w:lineRule="auto"/>
            </w:pPr>
            <w:r>
              <w:rPr>
                <w:sz w:val="18"/>
              </w:rPr>
              <w:t>671</w:t>
            </w:r>
          </w:p>
        </w:tc>
        <w:tc>
          <w:tcPr>
            <w:tcW w:w="3180" w:type="dxa"/>
            <w:tcMar>
              <w:top w:w="0" w:type="dxa"/>
              <w:bottom w:w="0" w:type="dxa"/>
            </w:tcMar>
            <w:vAlign w:val="center"/>
          </w:tcPr>
          <w:p w14:paraId="1441B30A" w14:textId="77777777" w:rsidR="009229E6"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377E425A" w14:textId="77777777" w:rsidR="009229E6" w:rsidRDefault="00000000">
            <w:pPr>
              <w:keepNext/>
              <w:keepLines/>
              <w:spacing w:after="0" w:line="240" w:lineRule="auto"/>
            </w:pPr>
            <w:r>
              <w:rPr>
                <w:sz w:val="18"/>
              </w:rPr>
              <w:t>671</w:t>
            </w:r>
          </w:p>
        </w:tc>
        <w:tc>
          <w:tcPr>
            <w:tcW w:w="1860" w:type="dxa"/>
            <w:tcMar>
              <w:top w:w="0" w:type="dxa"/>
              <w:bottom w:w="0" w:type="dxa"/>
            </w:tcMar>
            <w:vAlign w:val="center"/>
          </w:tcPr>
          <w:p w14:paraId="01C4479F" w14:textId="77777777" w:rsidR="009229E6" w:rsidRDefault="00000000">
            <w:pPr>
              <w:keepNext/>
              <w:keepLines/>
              <w:spacing w:after="0" w:line="240" w:lineRule="auto"/>
              <w:jc w:val="right"/>
            </w:pPr>
            <w:r>
              <w:rPr>
                <w:sz w:val="18"/>
              </w:rPr>
              <w:t>480.347,14</w:t>
            </w:r>
          </w:p>
        </w:tc>
        <w:tc>
          <w:tcPr>
            <w:tcW w:w="1860" w:type="dxa"/>
            <w:tcMar>
              <w:top w:w="0" w:type="dxa"/>
              <w:bottom w:w="0" w:type="dxa"/>
            </w:tcMar>
            <w:vAlign w:val="center"/>
          </w:tcPr>
          <w:p w14:paraId="61FC58D4" w14:textId="77777777" w:rsidR="009229E6" w:rsidRDefault="00000000">
            <w:pPr>
              <w:keepNext/>
              <w:keepLines/>
              <w:spacing w:after="0" w:line="240" w:lineRule="auto"/>
              <w:jc w:val="right"/>
            </w:pPr>
            <w:r>
              <w:rPr>
                <w:sz w:val="18"/>
              </w:rPr>
              <w:t>496.395,99</w:t>
            </w:r>
          </w:p>
        </w:tc>
        <w:tc>
          <w:tcPr>
            <w:tcW w:w="700" w:type="dxa"/>
            <w:tcMar>
              <w:top w:w="0" w:type="dxa"/>
              <w:bottom w:w="0" w:type="dxa"/>
            </w:tcMar>
            <w:vAlign w:val="center"/>
          </w:tcPr>
          <w:p w14:paraId="28E8B475" w14:textId="77777777" w:rsidR="009229E6" w:rsidRDefault="00000000">
            <w:pPr>
              <w:keepNext/>
              <w:keepLines/>
              <w:spacing w:after="0" w:line="240" w:lineRule="auto"/>
              <w:jc w:val="right"/>
            </w:pPr>
            <w:r>
              <w:rPr>
                <w:sz w:val="18"/>
              </w:rPr>
              <w:t>103,3</w:t>
            </w:r>
          </w:p>
        </w:tc>
      </w:tr>
    </w:tbl>
    <w:p w14:paraId="2A4F88EF" w14:textId="77777777" w:rsidR="009229E6" w:rsidRDefault="009229E6">
      <w:pPr>
        <w:spacing w:after="0"/>
      </w:pPr>
    </w:p>
    <w:p w14:paraId="48450268" w14:textId="77777777" w:rsidR="009229E6" w:rsidRDefault="00000000">
      <w:r>
        <w:t>Prihodi  iz nadležnog proračuna namijenjeni su pokriću rashoda redovnog poslovanja i pokriće vlastitog udjela u sufinanciranju projekta „Suradnja za razvoj“.  U odnosu na izvještajno razdoblje prethodne godine evidentiran je porast ove vrste prihoda za 3,00 %.  </w:t>
      </w:r>
    </w:p>
    <w:p w14:paraId="1A7A2880" w14:textId="77777777" w:rsidR="009229E6" w:rsidRDefault="009229E6"/>
    <w:p w14:paraId="5B706C5F" w14:textId="77777777" w:rsidR="009229E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44E3BB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A695C"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A890AA"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2A3F9"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196C9D"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687EE8"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D942C7" w14:textId="77777777" w:rsidR="009229E6" w:rsidRDefault="00000000">
            <w:pPr>
              <w:keepNext/>
              <w:keepLines/>
              <w:spacing w:after="0" w:line="240" w:lineRule="auto"/>
              <w:jc w:val="center"/>
            </w:pPr>
            <w:r>
              <w:rPr>
                <w:b/>
                <w:sz w:val="18"/>
              </w:rPr>
              <w:t>Indeks (%)</w:t>
            </w:r>
          </w:p>
        </w:tc>
      </w:tr>
      <w:tr w:rsidR="009229E6" w14:paraId="61967E04" w14:textId="77777777">
        <w:tblPrEx>
          <w:tblCellMar>
            <w:top w:w="0" w:type="dxa"/>
            <w:bottom w:w="0" w:type="dxa"/>
          </w:tblCellMar>
        </w:tblPrEx>
        <w:trPr>
          <w:cantSplit/>
          <w:trHeight w:val="560"/>
        </w:trPr>
        <w:tc>
          <w:tcPr>
            <w:tcW w:w="700" w:type="dxa"/>
            <w:tcMar>
              <w:top w:w="0" w:type="dxa"/>
              <w:bottom w:w="0" w:type="dxa"/>
            </w:tcMar>
            <w:vAlign w:val="center"/>
          </w:tcPr>
          <w:p w14:paraId="6F9C732A" w14:textId="77777777" w:rsidR="009229E6" w:rsidRDefault="00000000">
            <w:pPr>
              <w:keepNext/>
              <w:keepLines/>
              <w:spacing w:after="0" w:line="240" w:lineRule="auto"/>
            </w:pPr>
            <w:r>
              <w:rPr>
                <w:sz w:val="18"/>
              </w:rPr>
              <w:t>6712</w:t>
            </w:r>
          </w:p>
        </w:tc>
        <w:tc>
          <w:tcPr>
            <w:tcW w:w="3180" w:type="dxa"/>
            <w:tcMar>
              <w:top w:w="0" w:type="dxa"/>
              <w:bottom w:w="0" w:type="dxa"/>
            </w:tcMar>
            <w:vAlign w:val="center"/>
          </w:tcPr>
          <w:p w14:paraId="5FFAFA68" w14:textId="77777777" w:rsidR="009229E6"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A655434" w14:textId="77777777" w:rsidR="009229E6" w:rsidRDefault="00000000">
            <w:pPr>
              <w:keepNext/>
              <w:keepLines/>
              <w:spacing w:after="0" w:line="240" w:lineRule="auto"/>
            </w:pPr>
            <w:r>
              <w:rPr>
                <w:sz w:val="18"/>
              </w:rPr>
              <w:t>6712</w:t>
            </w:r>
          </w:p>
        </w:tc>
        <w:tc>
          <w:tcPr>
            <w:tcW w:w="1860" w:type="dxa"/>
            <w:tcMar>
              <w:top w:w="0" w:type="dxa"/>
              <w:bottom w:w="0" w:type="dxa"/>
            </w:tcMar>
            <w:vAlign w:val="center"/>
          </w:tcPr>
          <w:p w14:paraId="5C5C225C" w14:textId="77777777" w:rsidR="009229E6" w:rsidRDefault="00000000">
            <w:pPr>
              <w:keepNext/>
              <w:keepLines/>
              <w:spacing w:after="0" w:line="240" w:lineRule="auto"/>
              <w:jc w:val="right"/>
            </w:pPr>
            <w:r>
              <w:rPr>
                <w:sz w:val="18"/>
              </w:rPr>
              <w:t>501,38</w:t>
            </w:r>
          </w:p>
        </w:tc>
        <w:tc>
          <w:tcPr>
            <w:tcW w:w="1860" w:type="dxa"/>
            <w:tcMar>
              <w:top w:w="0" w:type="dxa"/>
              <w:bottom w:w="0" w:type="dxa"/>
            </w:tcMar>
            <w:vAlign w:val="center"/>
          </w:tcPr>
          <w:p w14:paraId="559F0A99" w14:textId="77777777" w:rsidR="009229E6" w:rsidRDefault="00000000">
            <w:pPr>
              <w:keepNext/>
              <w:keepLines/>
              <w:spacing w:after="0" w:line="240" w:lineRule="auto"/>
              <w:jc w:val="right"/>
            </w:pPr>
            <w:r>
              <w:rPr>
                <w:sz w:val="18"/>
              </w:rPr>
              <w:t>57.022,13</w:t>
            </w:r>
          </w:p>
        </w:tc>
        <w:tc>
          <w:tcPr>
            <w:tcW w:w="700" w:type="dxa"/>
            <w:tcMar>
              <w:top w:w="0" w:type="dxa"/>
              <w:bottom w:w="0" w:type="dxa"/>
            </w:tcMar>
            <w:vAlign w:val="center"/>
          </w:tcPr>
          <w:p w14:paraId="51666DFE" w14:textId="77777777" w:rsidR="009229E6" w:rsidRDefault="00000000">
            <w:pPr>
              <w:keepNext/>
              <w:keepLines/>
              <w:spacing w:after="0" w:line="240" w:lineRule="auto"/>
              <w:jc w:val="right"/>
            </w:pPr>
            <w:r>
              <w:rPr>
                <w:sz w:val="18"/>
              </w:rPr>
              <w:t>&gt;&gt;100</w:t>
            </w:r>
          </w:p>
        </w:tc>
      </w:tr>
    </w:tbl>
    <w:p w14:paraId="656D4A00" w14:textId="77777777" w:rsidR="009229E6" w:rsidRDefault="009229E6">
      <w:pPr>
        <w:spacing w:after="0"/>
      </w:pPr>
    </w:p>
    <w:p w14:paraId="2CBCC714" w14:textId="77777777" w:rsidR="009229E6" w:rsidRDefault="00000000">
      <w:r>
        <w:t>Prihod od 57.022,13 eura namijenjen je pokriću dijela rashoda ulaganja na tuđoj imovini radi prava korištenja realiziranih 2025. godine. </w:t>
      </w:r>
    </w:p>
    <w:p w14:paraId="612E2560" w14:textId="77777777" w:rsidR="009229E6" w:rsidRDefault="009229E6"/>
    <w:p w14:paraId="425CCF48" w14:textId="77777777" w:rsidR="009229E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71B83B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8DD36"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9B5B94"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4F318"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BE8747"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58AB67"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44497" w14:textId="77777777" w:rsidR="009229E6" w:rsidRDefault="00000000">
            <w:pPr>
              <w:keepNext/>
              <w:keepLines/>
              <w:spacing w:after="0" w:line="240" w:lineRule="auto"/>
              <w:jc w:val="center"/>
            </w:pPr>
            <w:r>
              <w:rPr>
                <w:b/>
                <w:sz w:val="18"/>
              </w:rPr>
              <w:t>Indeks (%)</w:t>
            </w:r>
          </w:p>
        </w:tc>
      </w:tr>
      <w:tr w:rsidR="009229E6" w14:paraId="153E8162" w14:textId="77777777">
        <w:tblPrEx>
          <w:tblCellMar>
            <w:top w:w="0" w:type="dxa"/>
            <w:bottom w:w="0" w:type="dxa"/>
          </w:tblCellMar>
        </w:tblPrEx>
        <w:trPr>
          <w:cantSplit/>
          <w:trHeight w:val="560"/>
        </w:trPr>
        <w:tc>
          <w:tcPr>
            <w:tcW w:w="700" w:type="dxa"/>
            <w:tcMar>
              <w:top w:w="0" w:type="dxa"/>
              <w:bottom w:w="0" w:type="dxa"/>
            </w:tcMar>
            <w:vAlign w:val="center"/>
          </w:tcPr>
          <w:p w14:paraId="43C43EE3" w14:textId="77777777" w:rsidR="009229E6" w:rsidRDefault="00000000">
            <w:pPr>
              <w:keepNext/>
              <w:keepLines/>
              <w:spacing w:after="0" w:line="240" w:lineRule="auto"/>
            </w:pPr>
            <w:r>
              <w:rPr>
                <w:sz w:val="18"/>
              </w:rPr>
              <w:t>3</w:t>
            </w:r>
          </w:p>
        </w:tc>
        <w:tc>
          <w:tcPr>
            <w:tcW w:w="3180" w:type="dxa"/>
            <w:tcMar>
              <w:top w:w="0" w:type="dxa"/>
              <w:bottom w:w="0" w:type="dxa"/>
            </w:tcMar>
            <w:vAlign w:val="center"/>
          </w:tcPr>
          <w:p w14:paraId="5AAD7430" w14:textId="77777777" w:rsidR="009229E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B4F3A97" w14:textId="77777777" w:rsidR="009229E6" w:rsidRDefault="00000000">
            <w:pPr>
              <w:keepNext/>
              <w:keepLines/>
              <w:spacing w:after="0" w:line="240" w:lineRule="auto"/>
            </w:pPr>
            <w:r>
              <w:rPr>
                <w:sz w:val="18"/>
              </w:rPr>
              <w:t>3</w:t>
            </w:r>
          </w:p>
        </w:tc>
        <w:tc>
          <w:tcPr>
            <w:tcW w:w="1860" w:type="dxa"/>
            <w:tcMar>
              <w:top w:w="0" w:type="dxa"/>
              <w:bottom w:w="0" w:type="dxa"/>
            </w:tcMar>
            <w:vAlign w:val="center"/>
          </w:tcPr>
          <w:p w14:paraId="398794F0" w14:textId="77777777" w:rsidR="009229E6" w:rsidRDefault="00000000">
            <w:pPr>
              <w:keepNext/>
              <w:keepLines/>
              <w:spacing w:after="0" w:line="240" w:lineRule="auto"/>
              <w:jc w:val="right"/>
            </w:pPr>
            <w:r>
              <w:rPr>
                <w:sz w:val="18"/>
              </w:rPr>
              <w:t>819.407,70</w:t>
            </w:r>
          </w:p>
        </w:tc>
        <w:tc>
          <w:tcPr>
            <w:tcW w:w="1860" w:type="dxa"/>
            <w:tcMar>
              <w:top w:w="0" w:type="dxa"/>
              <w:bottom w:w="0" w:type="dxa"/>
            </w:tcMar>
            <w:vAlign w:val="center"/>
          </w:tcPr>
          <w:p w14:paraId="21698C1D" w14:textId="77777777" w:rsidR="009229E6" w:rsidRDefault="00000000">
            <w:pPr>
              <w:keepNext/>
              <w:keepLines/>
              <w:spacing w:after="0" w:line="240" w:lineRule="auto"/>
              <w:jc w:val="right"/>
            </w:pPr>
            <w:r>
              <w:rPr>
                <w:sz w:val="18"/>
              </w:rPr>
              <w:t>889.125,99</w:t>
            </w:r>
          </w:p>
        </w:tc>
        <w:tc>
          <w:tcPr>
            <w:tcW w:w="700" w:type="dxa"/>
            <w:tcMar>
              <w:top w:w="0" w:type="dxa"/>
              <w:bottom w:w="0" w:type="dxa"/>
            </w:tcMar>
            <w:vAlign w:val="center"/>
          </w:tcPr>
          <w:p w14:paraId="6930EE9A" w14:textId="77777777" w:rsidR="009229E6" w:rsidRDefault="00000000">
            <w:pPr>
              <w:keepNext/>
              <w:keepLines/>
              <w:spacing w:after="0" w:line="240" w:lineRule="auto"/>
              <w:jc w:val="right"/>
            </w:pPr>
            <w:r>
              <w:rPr>
                <w:sz w:val="18"/>
              </w:rPr>
              <w:t>108,5</w:t>
            </w:r>
          </w:p>
        </w:tc>
      </w:tr>
    </w:tbl>
    <w:p w14:paraId="19F6549C" w14:textId="77777777" w:rsidR="009229E6" w:rsidRDefault="009229E6">
      <w:pPr>
        <w:spacing w:after="0"/>
      </w:pPr>
    </w:p>
    <w:p w14:paraId="1A18AD81" w14:textId="77777777" w:rsidR="009229E6" w:rsidRDefault="00000000">
      <w:r>
        <w:t>Rashodi poslovanja viši su za 8,5% u odnosu na izvještajno razdoblje prethodne godine.  Evidentiran je porast rashoda za zaposlene, dok su materijalni rashodi nešto niži. </w:t>
      </w:r>
    </w:p>
    <w:p w14:paraId="3FC4F69E" w14:textId="77777777" w:rsidR="009229E6" w:rsidRDefault="009229E6"/>
    <w:p w14:paraId="0235F38E" w14:textId="77777777" w:rsidR="009229E6"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07CEF0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D2E21"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6F93E3"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94B99"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60826"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34BEE"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54D728" w14:textId="77777777" w:rsidR="009229E6" w:rsidRDefault="00000000">
            <w:pPr>
              <w:keepNext/>
              <w:keepLines/>
              <w:spacing w:after="0" w:line="240" w:lineRule="auto"/>
              <w:jc w:val="center"/>
            </w:pPr>
            <w:r>
              <w:rPr>
                <w:b/>
                <w:sz w:val="18"/>
              </w:rPr>
              <w:t>Indeks (%)</w:t>
            </w:r>
          </w:p>
        </w:tc>
      </w:tr>
      <w:tr w:rsidR="009229E6" w14:paraId="07117047" w14:textId="77777777">
        <w:tblPrEx>
          <w:tblCellMar>
            <w:top w:w="0" w:type="dxa"/>
            <w:bottom w:w="0" w:type="dxa"/>
          </w:tblCellMar>
        </w:tblPrEx>
        <w:trPr>
          <w:cantSplit/>
          <w:trHeight w:val="560"/>
        </w:trPr>
        <w:tc>
          <w:tcPr>
            <w:tcW w:w="700" w:type="dxa"/>
            <w:tcMar>
              <w:top w:w="0" w:type="dxa"/>
              <w:bottom w:w="0" w:type="dxa"/>
            </w:tcMar>
            <w:vAlign w:val="center"/>
          </w:tcPr>
          <w:p w14:paraId="28E85A5C" w14:textId="77777777" w:rsidR="009229E6" w:rsidRDefault="00000000">
            <w:pPr>
              <w:keepNext/>
              <w:keepLines/>
              <w:spacing w:after="0" w:line="240" w:lineRule="auto"/>
            </w:pPr>
            <w:r>
              <w:rPr>
                <w:sz w:val="18"/>
              </w:rPr>
              <w:t>31</w:t>
            </w:r>
          </w:p>
        </w:tc>
        <w:tc>
          <w:tcPr>
            <w:tcW w:w="3180" w:type="dxa"/>
            <w:tcMar>
              <w:top w:w="0" w:type="dxa"/>
              <w:bottom w:w="0" w:type="dxa"/>
            </w:tcMar>
            <w:vAlign w:val="center"/>
          </w:tcPr>
          <w:p w14:paraId="74DF39D6" w14:textId="77777777" w:rsidR="009229E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2BAAC59" w14:textId="77777777" w:rsidR="009229E6" w:rsidRDefault="00000000">
            <w:pPr>
              <w:keepNext/>
              <w:keepLines/>
              <w:spacing w:after="0" w:line="240" w:lineRule="auto"/>
            </w:pPr>
            <w:r>
              <w:rPr>
                <w:sz w:val="18"/>
              </w:rPr>
              <w:t>31</w:t>
            </w:r>
          </w:p>
        </w:tc>
        <w:tc>
          <w:tcPr>
            <w:tcW w:w="1860" w:type="dxa"/>
            <w:tcMar>
              <w:top w:w="0" w:type="dxa"/>
              <w:bottom w:w="0" w:type="dxa"/>
            </w:tcMar>
            <w:vAlign w:val="center"/>
          </w:tcPr>
          <w:p w14:paraId="3E72917F" w14:textId="77777777" w:rsidR="009229E6" w:rsidRDefault="00000000">
            <w:pPr>
              <w:keepNext/>
              <w:keepLines/>
              <w:spacing w:after="0" w:line="240" w:lineRule="auto"/>
              <w:jc w:val="right"/>
            </w:pPr>
            <w:r>
              <w:rPr>
                <w:sz w:val="18"/>
              </w:rPr>
              <w:t>684.960,04</w:t>
            </w:r>
          </w:p>
        </w:tc>
        <w:tc>
          <w:tcPr>
            <w:tcW w:w="1860" w:type="dxa"/>
            <w:tcMar>
              <w:top w:w="0" w:type="dxa"/>
              <w:bottom w:w="0" w:type="dxa"/>
            </w:tcMar>
            <w:vAlign w:val="center"/>
          </w:tcPr>
          <w:p w14:paraId="4C4493B2" w14:textId="77777777" w:rsidR="009229E6" w:rsidRDefault="00000000">
            <w:pPr>
              <w:keepNext/>
              <w:keepLines/>
              <w:spacing w:after="0" w:line="240" w:lineRule="auto"/>
              <w:jc w:val="right"/>
            </w:pPr>
            <w:r>
              <w:rPr>
                <w:sz w:val="18"/>
              </w:rPr>
              <w:t>769.105,42</w:t>
            </w:r>
          </w:p>
        </w:tc>
        <w:tc>
          <w:tcPr>
            <w:tcW w:w="700" w:type="dxa"/>
            <w:tcMar>
              <w:top w:w="0" w:type="dxa"/>
              <w:bottom w:w="0" w:type="dxa"/>
            </w:tcMar>
            <w:vAlign w:val="center"/>
          </w:tcPr>
          <w:p w14:paraId="7DE2F657" w14:textId="77777777" w:rsidR="009229E6" w:rsidRDefault="00000000">
            <w:pPr>
              <w:keepNext/>
              <w:keepLines/>
              <w:spacing w:after="0" w:line="240" w:lineRule="auto"/>
              <w:jc w:val="right"/>
            </w:pPr>
            <w:r>
              <w:rPr>
                <w:sz w:val="18"/>
              </w:rPr>
              <w:t>112,3</w:t>
            </w:r>
          </w:p>
        </w:tc>
      </w:tr>
    </w:tbl>
    <w:p w14:paraId="430D1342" w14:textId="77777777" w:rsidR="009229E6" w:rsidRDefault="009229E6">
      <w:pPr>
        <w:spacing w:after="0"/>
      </w:pPr>
    </w:p>
    <w:p w14:paraId="67A89F0B" w14:textId="77777777" w:rsidR="009229E6" w:rsidRDefault="00000000">
      <w:r>
        <w:t>Porast rashoda za zaposlene nastao je radi povećanja bruto plaća, viših naknada za  podmirenje troškova prehrane zaposlenika (od onih koje su isplaćivane prethodne godine)  te  više isplaćenih naknada za smrtni slučaj člana obitelji zaposlenika.</w:t>
      </w:r>
    </w:p>
    <w:p w14:paraId="4AEA618E" w14:textId="77777777" w:rsidR="009229E6" w:rsidRDefault="009229E6"/>
    <w:p w14:paraId="1CAD6865" w14:textId="77777777" w:rsidR="009229E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5EF445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8A9C12"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22CEA"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1E6B2"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8C24C2"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6B2E79"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E2A582" w14:textId="77777777" w:rsidR="009229E6" w:rsidRDefault="00000000">
            <w:pPr>
              <w:keepNext/>
              <w:keepLines/>
              <w:spacing w:after="0" w:line="240" w:lineRule="auto"/>
              <w:jc w:val="center"/>
            </w:pPr>
            <w:r>
              <w:rPr>
                <w:b/>
                <w:sz w:val="18"/>
              </w:rPr>
              <w:t>Indeks (%)</w:t>
            </w:r>
          </w:p>
        </w:tc>
      </w:tr>
      <w:tr w:rsidR="009229E6" w14:paraId="7C097EE0" w14:textId="77777777">
        <w:tblPrEx>
          <w:tblCellMar>
            <w:top w:w="0" w:type="dxa"/>
            <w:bottom w:w="0" w:type="dxa"/>
          </w:tblCellMar>
        </w:tblPrEx>
        <w:trPr>
          <w:cantSplit/>
          <w:trHeight w:val="560"/>
        </w:trPr>
        <w:tc>
          <w:tcPr>
            <w:tcW w:w="700" w:type="dxa"/>
            <w:tcMar>
              <w:top w:w="0" w:type="dxa"/>
              <w:bottom w:w="0" w:type="dxa"/>
            </w:tcMar>
            <w:vAlign w:val="center"/>
          </w:tcPr>
          <w:p w14:paraId="5C2DEBFA" w14:textId="77777777" w:rsidR="009229E6" w:rsidRDefault="00000000">
            <w:pPr>
              <w:keepNext/>
              <w:keepLines/>
              <w:spacing w:after="0" w:line="240" w:lineRule="auto"/>
            </w:pPr>
            <w:r>
              <w:rPr>
                <w:sz w:val="18"/>
              </w:rPr>
              <w:t>32</w:t>
            </w:r>
          </w:p>
        </w:tc>
        <w:tc>
          <w:tcPr>
            <w:tcW w:w="3180" w:type="dxa"/>
            <w:tcMar>
              <w:top w:w="0" w:type="dxa"/>
              <w:bottom w:w="0" w:type="dxa"/>
            </w:tcMar>
            <w:vAlign w:val="center"/>
          </w:tcPr>
          <w:p w14:paraId="68C2B354" w14:textId="77777777" w:rsidR="009229E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06691BC" w14:textId="77777777" w:rsidR="009229E6" w:rsidRDefault="00000000">
            <w:pPr>
              <w:keepNext/>
              <w:keepLines/>
              <w:spacing w:after="0" w:line="240" w:lineRule="auto"/>
            </w:pPr>
            <w:r>
              <w:rPr>
                <w:sz w:val="18"/>
              </w:rPr>
              <w:t>32</w:t>
            </w:r>
          </w:p>
        </w:tc>
        <w:tc>
          <w:tcPr>
            <w:tcW w:w="1860" w:type="dxa"/>
            <w:tcMar>
              <w:top w:w="0" w:type="dxa"/>
              <w:bottom w:w="0" w:type="dxa"/>
            </w:tcMar>
            <w:vAlign w:val="center"/>
          </w:tcPr>
          <w:p w14:paraId="49F18235" w14:textId="77777777" w:rsidR="009229E6" w:rsidRDefault="00000000">
            <w:pPr>
              <w:keepNext/>
              <w:keepLines/>
              <w:spacing w:after="0" w:line="240" w:lineRule="auto"/>
              <w:jc w:val="right"/>
            </w:pPr>
            <w:r>
              <w:rPr>
                <w:sz w:val="18"/>
              </w:rPr>
              <w:t>132.516,67</w:t>
            </w:r>
          </w:p>
        </w:tc>
        <w:tc>
          <w:tcPr>
            <w:tcW w:w="1860" w:type="dxa"/>
            <w:tcMar>
              <w:top w:w="0" w:type="dxa"/>
              <w:bottom w:w="0" w:type="dxa"/>
            </w:tcMar>
            <w:vAlign w:val="center"/>
          </w:tcPr>
          <w:p w14:paraId="511D0BD6" w14:textId="77777777" w:rsidR="009229E6" w:rsidRDefault="00000000">
            <w:pPr>
              <w:keepNext/>
              <w:keepLines/>
              <w:spacing w:after="0" w:line="240" w:lineRule="auto"/>
              <w:jc w:val="right"/>
            </w:pPr>
            <w:r>
              <w:rPr>
                <w:sz w:val="18"/>
              </w:rPr>
              <w:t>119.257,10</w:t>
            </w:r>
          </w:p>
        </w:tc>
        <w:tc>
          <w:tcPr>
            <w:tcW w:w="700" w:type="dxa"/>
            <w:tcMar>
              <w:top w:w="0" w:type="dxa"/>
              <w:bottom w:w="0" w:type="dxa"/>
            </w:tcMar>
            <w:vAlign w:val="center"/>
          </w:tcPr>
          <w:p w14:paraId="625BEFC0" w14:textId="77777777" w:rsidR="009229E6" w:rsidRDefault="00000000">
            <w:pPr>
              <w:keepNext/>
              <w:keepLines/>
              <w:spacing w:after="0" w:line="240" w:lineRule="auto"/>
              <w:jc w:val="right"/>
            </w:pPr>
            <w:r>
              <w:rPr>
                <w:sz w:val="18"/>
              </w:rPr>
              <w:t>90,0</w:t>
            </w:r>
          </w:p>
        </w:tc>
      </w:tr>
    </w:tbl>
    <w:p w14:paraId="13554752" w14:textId="77777777" w:rsidR="009229E6" w:rsidRDefault="009229E6">
      <w:pPr>
        <w:spacing w:after="0"/>
      </w:pPr>
    </w:p>
    <w:p w14:paraId="499DD6A7" w14:textId="77777777" w:rsidR="009229E6" w:rsidRDefault="00000000">
      <w:r>
        <w:t>Materijalni rashodi niži su u ovom izvještajnom razdoblju za 10,00%. Razlike između dvaju izvještajnih razdoblja povezane su sa dinamikom provedbe projekata i potrebom za nabavu dodatnih materijala, energije i usluga, koje se ne odnose na rashode redovnog poslovanja.</w:t>
      </w:r>
    </w:p>
    <w:p w14:paraId="4740918B" w14:textId="77777777" w:rsidR="009229E6" w:rsidRDefault="009229E6"/>
    <w:p w14:paraId="131C6946" w14:textId="77777777" w:rsidR="009229E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25D6D9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F6BDC"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D9B110"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6A79FF"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D6F48B"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704838"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F705F" w14:textId="77777777" w:rsidR="009229E6" w:rsidRDefault="00000000">
            <w:pPr>
              <w:keepNext/>
              <w:keepLines/>
              <w:spacing w:after="0" w:line="240" w:lineRule="auto"/>
              <w:jc w:val="center"/>
            </w:pPr>
            <w:r>
              <w:rPr>
                <w:b/>
                <w:sz w:val="18"/>
              </w:rPr>
              <w:t>Indeks (%)</w:t>
            </w:r>
          </w:p>
        </w:tc>
      </w:tr>
      <w:tr w:rsidR="009229E6" w14:paraId="649894FF" w14:textId="77777777">
        <w:tblPrEx>
          <w:tblCellMar>
            <w:top w:w="0" w:type="dxa"/>
            <w:bottom w:w="0" w:type="dxa"/>
          </w:tblCellMar>
        </w:tblPrEx>
        <w:trPr>
          <w:cantSplit/>
          <w:trHeight w:val="560"/>
        </w:trPr>
        <w:tc>
          <w:tcPr>
            <w:tcW w:w="700" w:type="dxa"/>
            <w:tcMar>
              <w:top w:w="0" w:type="dxa"/>
              <w:bottom w:w="0" w:type="dxa"/>
            </w:tcMar>
            <w:vAlign w:val="center"/>
          </w:tcPr>
          <w:p w14:paraId="3E55BC0F" w14:textId="77777777" w:rsidR="009229E6" w:rsidRDefault="00000000">
            <w:pPr>
              <w:keepNext/>
              <w:keepLines/>
              <w:spacing w:after="0" w:line="240" w:lineRule="auto"/>
            </w:pPr>
            <w:r>
              <w:rPr>
                <w:sz w:val="18"/>
              </w:rPr>
              <w:t>34</w:t>
            </w:r>
          </w:p>
        </w:tc>
        <w:tc>
          <w:tcPr>
            <w:tcW w:w="3180" w:type="dxa"/>
            <w:tcMar>
              <w:top w:w="0" w:type="dxa"/>
              <w:bottom w:w="0" w:type="dxa"/>
            </w:tcMar>
            <w:vAlign w:val="center"/>
          </w:tcPr>
          <w:p w14:paraId="7A1C4DD5" w14:textId="77777777" w:rsidR="009229E6"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AE2E209" w14:textId="77777777" w:rsidR="009229E6" w:rsidRDefault="00000000">
            <w:pPr>
              <w:keepNext/>
              <w:keepLines/>
              <w:spacing w:after="0" w:line="240" w:lineRule="auto"/>
            </w:pPr>
            <w:r>
              <w:rPr>
                <w:sz w:val="18"/>
              </w:rPr>
              <w:t>34</w:t>
            </w:r>
          </w:p>
        </w:tc>
        <w:tc>
          <w:tcPr>
            <w:tcW w:w="1860" w:type="dxa"/>
            <w:tcMar>
              <w:top w:w="0" w:type="dxa"/>
              <w:bottom w:w="0" w:type="dxa"/>
            </w:tcMar>
            <w:vAlign w:val="center"/>
          </w:tcPr>
          <w:p w14:paraId="5D063E45" w14:textId="77777777" w:rsidR="009229E6" w:rsidRDefault="00000000">
            <w:pPr>
              <w:keepNext/>
              <w:keepLines/>
              <w:spacing w:after="0" w:line="240" w:lineRule="auto"/>
              <w:jc w:val="right"/>
            </w:pPr>
            <w:r>
              <w:rPr>
                <w:sz w:val="18"/>
              </w:rPr>
              <w:t>1.930,99</w:t>
            </w:r>
          </w:p>
        </w:tc>
        <w:tc>
          <w:tcPr>
            <w:tcW w:w="1860" w:type="dxa"/>
            <w:tcMar>
              <w:top w:w="0" w:type="dxa"/>
              <w:bottom w:w="0" w:type="dxa"/>
            </w:tcMar>
            <w:vAlign w:val="center"/>
          </w:tcPr>
          <w:p w14:paraId="538FD673" w14:textId="77777777" w:rsidR="009229E6" w:rsidRDefault="00000000">
            <w:pPr>
              <w:keepNext/>
              <w:keepLines/>
              <w:spacing w:after="0" w:line="240" w:lineRule="auto"/>
              <w:jc w:val="right"/>
            </w:pPr>
            <w:r>
              <w:rPr>
                <w:sz w:val="18"/>
              </w:rPr>
              <w:t>763,47</w:t>
            </w:r>
          </w:p>
        </w:tc>
        <w:tc>
          <w:tcPr>
            <w:tcW w:w="700" w:type="dxa"/>
            <w:tcMar>
              <w:top w:w="0" w:type="dxa"/>
              <w:bottom w:w="0" w:type="dxa"/>
            </w:tcMar>
            <w:vAlign w:val="center"/>
          </w:tcPr>
          <w:p w14:paraId="5022DD82" w14:textId="77777777" w:rsidR="009229E6" w:rsidRDefault="00000000">
            <w:pPr>
              <w:keepNext/>
              <w:keepLines/>
              <w:spacing w:after="0" w:line="240" w:lineRule="auto"/>
              <w:jc w:val="right"/>
            </w:pPr>
            <w:r>
              <w:rPr>
                <w:sz w:val="18"/>
              </w:rPr>
              <w:t>39,5</w:t>
            </w:r>
          </w:p>
        </w:tc>
      </w:tr>
    </w:tbl>
    <w:p w14:paraId="4C98F37F" w14:textId="77777777" w:rsidR="009229E6" w:rsidRDefault="009229E6">
      <w:pPr>
        <w:spacing w:after="0"/>
      </w:pPr>
    </w:p>
    <w:p w14:paraId="22C22874" w14:textId="77777777" w:rsidR="009229E6" w:rsidRDefault="00000000">
      <w:r>
        <w:t>Financijski rashodi niži su za 61,5 % u odnosu na prethodnu godinu, a smanjenje se odnosi na niže troškove od usluga banke. </w:t>
      </w:r>
    </w:p>
    <w:p w14:paraId="0D96B167" w14:textId="77777777" w:rsidR="009229E6" w:rsidRDefault="009229E6"/>
    <w:p w14:paraId="692065ED" w14:textId="77777777" w:rsidR="009229E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0E11C9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32711"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2E7537"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3A81A"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4E7A6" w14:textId="77777777" w:rsidR="009229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7D566" w14:textId="77777777" w:rsidR="009229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627AE6" w14:textId="77777777" w:rsidR="009229E6" w:rsidRDefault="00000000">
            <w:pPr>
              <w:keepNext/>
              <w:keepLines/>
              <w:spacing w:after="0" w:line="240" w:lineRule="auto"/>
              <w:jc w:val="center"/>
            </w:pPr>
            <w:r>
              <w:rPr>
                <w:b/>
                <w:sz w:val="18"/>
              </w:rPr>
              <w:t>Indeks (%)</w:t>
            </w:r>
          </w:p>
        </w:tc>
      </w:tr>
      <w:tr w:rsidR="009229E6" w14:paraId="7A5D17A6" w14:textId="77777777">
        <w:tblPrEx>
          <w:tblCellMar>
            <w:top w:w="0" w:type="dxa"/>
            <w:bottom w:w="0" w:type="dxa"/>
          </w:tblCellMar>
        </w:tblPrEx>
        <w:trPr>
          <w:cantSplit/>
          <w:trHeight w:val="560"/>
        </w:trPr>
        <w:tc>
          <w:tcPr>
            <w:tcW w:w="700" w:type="dxa"/>
            <w:tcMar>
              <w:top w:w="0" w:type="dxa"/>
              <w:bottom w:w="0" w:type="dxa"/>
            </w:tcMar>
            <w:vAlign w:val="center"/>
          </w:tcPr>
          <w:p w14:paraId="5B6789CB" w14:textId="77777777" w:rsidR="009229E6" w:rsidRDefault="009229E6">
            <w:pPr>
              <w:keepNext/>
              <w:keepLines/>
              <w:spacing w:after="0" w:line="240" w:lineRule="auto"/>
            </w:pPr>
          </w:p>
        </w:tc>
        <w:tc>
          <w:tcPr>
            <w:tcW w:w="3180" w:type="dxa"/>
            <w:tcMar>
              <w:top w:w="0" w:type="dxa"/>
              <w:bottom w:w="0" w:type="dxa"/>
            </w:tcMar>
            <w:vAlign w:val="center"/>
          </w:tcPr>
          <w:p w14:paraId="2E1E1EBE" w14:textId="77777777" w:rsidR="009229E6"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548E2B60" w14:textId="77777777" w:rsidR="009229E6" w:rsidRDefault="00000000">
            <w:pPr>
              <w:keepNext/>
              <w:keepLines/>
              <w:spacing w:after="0" w:line="240" w:lineRule="auto"/>
            </w:pPr>
            <w:r>
              <w:rPr>
                <w:sz w:val="18"/>
              </w:rPr>
              <w:t>Z009</w:t>
            </w:r>
          </w:p>
        </w:tc>
        <w:tc>
          <w:tcPr>
            <w:tcW w:w="1860" w:type="dxa"/>
            <w:tcMar>
              <w:top w:w="0" w:type="dxa"/>
              <w:bottom w:w="0" w:type="dxa"/>
            </w:tcMar>
            <w:vAlign w:val="center"/>
          </w:tcPr>
          <w:p w14:paraId="6D22DF3C" w14:textId="77777777" w:rsidR="009229E6" w:rsidRDefault="00000000">
            <w:pPr>
              <w:keepNext/>
              <w:keepLines/>
              <w:spacing w:after="0" w:line="240" w:lineRule="auto"/>
              <w:jc w:val="right"/>
            </w:pPr>
            <w:r>
              <w:rPr>
                <w:sz w:val="18"/>
              </w:rPr>
              <w:t>16,00</w:t>
            </w:r>
          </w:p>
        </w:tc>
        <w:tc>
          <w:tcPr>
            <w:tcW w:w="1860" w:type="dxa"/>
            <w:tcMar>
              <w:top w:w="0" w:type="dxa"/>
              <w:bottom w:w="0" w:type="dxa"/>
            </w:tcMar>
            <w:vAlign w:val="center"/>
          </w:tcPr>
          <w:p w14:paraId="6DDAE712" w14:textId="77777777" w:rsidR="009229E6" w:rsidRDefault="00000000">
            <w:pPr>
              <w:keepNext/>
              <w:keepLines/>
              <w:spacing w:after="0" w:line="240" w:lineRule="auto"/>
              <w:jc w:val="right"/>
            </w:pPr>
            <w:r>
              <w:rPr>
                <w:sz w:val="18"/>
              </w:rPr>
              <w:t>14,00</w:t>
            </w:r>
          </w:p>
        </w:tc>
        <w:tc>
          <w:tcPr>
            <w:tcW w:w="700" w:type="dxa"/>
            <w:tcMar>
              <w:top w:w="0" w:type="dxa"/>
              <w:bottom w:w="0" w:type="dxa"/>
            </w:tcMar>
            <w:vAlign w:val="center"/>
          </w:tcPr>
          <w:p w14:paraId="01DF9B7F" w14:textId="77777777" w:rsidR="009229E6" w:rsidRDefault="00000000">
            <w:pPr>
              <w:keepNext/>
              <w:keepLines/>
              <w:spacing w:after="0" w:line="240" w:lineRule="auto"/>
              <w:jc w:val="right"/>
            </w:pPr>
            <w:r>
              <w:rPr>
                <w:sz w:val="18"/>
              </w:rPr>
              <w:t>87,5</w:t>
            </w:r>
          </w:p>
        </w:tc>
      </w:tr>
    </w:tbl>
    <w:p w14:paraId="60612434" w14:textId="77777777" w:rsidR="009229E6" w:rsidRDefault="009229E6">
      <w:pPr>
        <w:spacing w:after="0"/>
      </w:pPr>
    </w:p>
    <w:p w14:paraId="09B6DB33" w14:textId="77777777" w:rsidR="009229E6" w:rsidRDefault="00000000">
      <w:r>
        <w:t xml:space="preserve">Broj zaposlenih u 2025. godini nije se mijenjao u odnosu na 2024. godinu. Prosječan broj zaposlenih temeljem sati rada niži je radi korištenja </w:t>
      </w:r>
      <w:proofErr w:type="spellStart"/>
      <w:r>
        <w:t>rodiljnog</w:t>
      </w:r>
      <w:proofErr w:type="spellEnd"/>
      <w:r>
        <w:t xml:space="preserve"> i roditeljskog dopusta.</w:t>
      </w:r>
    </w:p>
    <w:p w14:paraId="4703F41E" w14:textId="77777777" w:rsidR="009229E6" w:rsidRDefault="009229E6"/>
    <w:p w14:paraId="7DB8EC66" w14:textId="77777777" w:rsidR="009229E6" w:rsidRDefault="00000000">
      <w:pPr>
        <w:keepNext/>
        <w:spacing w:line="240" w:lineRule="auto"/>
        <w:jc w:val="center"/>
      </w:pPr>
      <w:r>
        <w:rPr>
          <w:b/>
          <w:sz w:val="28"/>
        </w:rPr>
        <w:lastRenderedPageBreak/>
        <w:t>Bilanca</w:t>
      </w:r>
    </w:p>
    <w:p w14:paraId="3A520C87" w14:textId="77777777" w:rsidR="009229E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237C2E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75A1A"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088717"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349B5"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F821E"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4F78D0"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DA9B13" w14:textId="77777777" w:rsidR="009229E6" w:rsidRDefault="00000000">
            <w:pPr>
              <w:keepNext/>
              <w:keepLines/>
              <w:spacing w:after="0" w:line="240" w:lineRule="auto"/>
              <w:jc w:val="center"/>
            </w:pPr>
            <w:r>
              <w:rPr>
                <w:b/>
                <w:sz w:val="18"/>
              </w:rPr>
              <w:t>Indeks (%)</w:t>
            </w:r>
          </w:p>
        </w:tc>
      </w:tr>
      <w:tr w:rsidR="009229E6" w14:paraId="713C455C" w14:textId="77777777">
        <w:tblPrEx>
          <w:tblCellMar>
            <w:top w:w="0" w:type="dxa"/>
            <w:bottom w:w="0" w:type="dxa"/>
          </w:tblCellMar>
        </w:tblPrEx>
        <w:trPr>
          <w:cantSplit/>
          <w:trHeight w:val="560"/>
        </w:trPr>
        <w:tc>
          <w:tcPr>
            <w:tcW w:w="700" w:type="dxa"/>
            <w:tcMar>
              <w:top w:w="0" w:type="dxa"/>
              <w:bottom w:w="0" w:type="dxa"/>
            </w:tcMar>
            <w:vAlign w:val="center"/>
          </w:tcPr>
          <w:p w14:paraId="6E015B35" w14:textId="77777777" w:rsidR="009229E6" w:rsidRDefault="00000000">
            <w:pPr>
              <w:keepNext/>
              <w:keepLines/>
              <w:spacing w:after="0" w:line="240" w:lineRule="auto"/>
            </w:pPr>
            <w:r>
              <w:rPr>
                <w:sz w:val="18"/>
              </w:rPr>
              <w:t>01</w:t>
            </w:r>
          </w:p>
        </w:tc>
        <w:tc>
          <w:tcPr>
            <w:tcW w:w="3180" w:type="dxa"/>
            <w:tcMar>
              <w:top w:w="0" w:type="dxa"/>
              <w:bottom w:w="0" w:type="dxa"/>
            </w:tcMar>
            <w:vAlign w:val="center"/>
          </w:tcPr>
          <w:p w14:paraId="4514F032" w14:textId="77777777" w:rsidR="009229E6" w:rsidRDefault="00000000">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4F4F9664" w14:textId="77777777" w:rsidR="009229E6" w:rsidRDefault="00000000">
            <w:pPr>
              <w:keepNext/>
              <w:keepLines/>
              <w:spacing w:after="0" w:line="240" w:lineRule="auto"/>
            </w:pPr>
            <w:r>
              <w:rPr>
                <w:sz w:val="18"/>
              </w:rPr>
              <w:t>01</w:t>
            </w:r>
          </w:p>
        </w:tc>
        <w:tc>
          <w:tcPr>
            <w:tcW w:w="1860" w:type="dxa"/>
            <w:tcMar>
              <w:top w:w="0" w:type="dxa"/>
              <w:bottom w:w="0" w:type="dxa"/>
            </w:tcMar>
            <w:vAlign w:val="center"/>
          </w:tcPr>
          <w:p w14:paraId="3B494735" w14:textId="77777777" w:rsidR="009229E6" w:rsidRDefault="00000000">
            <w:pPr>
              <w:keepNext/>
              <w:keepLines/>
              <w:spacing w:after="0" w:line="240" w:lineRule="auto"/>
              <w:jc w:val="right"/>
            </w:pPr>
            <w:r>
              <w:rPr>
                <w:sz w:val="18"/>
              </w:rPr>
              <w:t>21.580,66</w:t>
            </w:r>
          </w:p>
        </w:tc>
        <w:tc>
          <w:tcPr>
            <w:tcW w:w="1860" w:type="dxa"/>
            <w:tcMar>
              <w:top w:w="0" w:type="dxa"/>
              <w:bottom w:w="0" w:type="dxa"/>
            </w:tcMar>
            <w:vAlign w:val="center"/>
          </w:tcPr>
          <w:p w14:paraId="053D7DAC" w14:textId="77777777" w:rsidR="009229E6" w:rsidRDefault="00000000">
            <w:pPr>
              <w:keepNext/>
              <w:keepLines/>
              <w:spacing w:after="0" w:line="240" w:lineRule="auto"/>
              <w:jc w:val="right"/>
            </w:pPr>
            <w:r>
              <w:rPr>
                <w:sz w:val="18"/>
              </w:rPr>
              <w:t>89.538,52</w:t>
            </w:r>
          </w:p>
        </w:tc>
        <w:tc>
          <w:tcPr>
            <w:tcW w:w="700" w:type="dxa"/>
            <w:tcMar>
              <w:top w:w="0" w:type="dxa"/>
              <w:bottom w:w="0" w:type="dxa"/>
            </w:tcMar>
            <w:vAlign w:val="center"/>
          </w:tcPr>
          <w:p w14:paraId="230AD28E" w14:textId="77777777" w:rsidR="009229E6" w:rsidRDefault="00000000">
            <w:pPr>
              <w:keepNext/>
              <w:keepLines/>
              <w:spacing w:after="0" w:line="240" w:lineRule="auto"/>
              <w:jc w:val="right"/>
            </w:pPr>
            <w:r>
              <w:rPr>
                <w:sz w:val="18"/>
              </w:rPr>
              <w:t>414,9</w:t>
            </w:r>
          </w:p>
        </w:tc>
      </w:tr>
    </w:tbl>
    <w:p w14:paraId="303DC7F8" w14:textId="77777777" w:rsidR="009229E6" w:rsidRDefault="009229E6">
      <w:pPr>
        <w:spacing w:after="0"/>
      </w:pPr>
    </w:p>
    <w:p w14:paraId="4D2D3E26" w14:textId="77777777" w:rsidR="009229E6" w:rsidRDefault="00000000">
      <w:r>
        <w:t xml:space="preserve">Tijekom 2025. godine ostvarena su značajna ulaganja u </w:t>
      </w:r>
      <w:proofErr w:type="spellStart"/>
      <w:r>
        <w:t>neproizvedenu</w:t>
      </w:r>
      <w:proofErr w:type="spellEnd"/>
      <w:r>
        <w:t xml:space="preserve"> imovinu u odnosu na prethodnu godinu.</w:t>
      </w:r>
    </w:p>
    <w:p w14:paraId="5BB61577" w14:textId="77777777" w:rsidR="009229E6" w:rsidRDefault="009229E6"/>
    <w:p w14:paraId="73625204" w14:textId="77777777" w:rsidR="009229E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324DD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F150DA"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B7762A"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D013A"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4CAFD"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CC193D"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F0FE05" w14:textId="77777777" w:rsidR="009229E6" w:rsidRDefault="00000000">
            <w:pPr>
              <w:keepNext/>
              <w:keepLines/>
              <w:spacing w:after="0" w:line="240" w:lineRule="auto"/>
              <w:jc w:val="center"/>
            </w:pPr>
            <w:r>
              <w:rPr>
                <w:b/>
                <w:sz w:val="18"/>
              </w:rPr>
              <w:t>Indeks (%)</w:t>
            </w:r>
          </w:p>
        </w:tc>
      </w:tr>
      <w:tr w:rsidR="009229E6" w14:paraId="65146008" w14:textId="77777777">
        <w:tblPrEx>
          <w:tblCellMar>
            <w:top w:w="0" w:type="dxa"/>
            <w:bottom w:w="0" w:type="dxa"/>
          </w:tblCellMar>
        </w:tblPrEx>
        <w:trPr>
          <w:cantSplit/>
          <w:trHeight w:val="560"/>
        </w:trPr>
        <w:tc>
          <w:tcPr>
            <w:tcW w:w="700" w:type="dxa"/>
            <w:tcMar>
              <w:top w:w="0" w:type="dxa"/>
              <w:bottom w:w="0" w:type="dxa"/>
            </w:tcMar>
            <w:vAlign w:val="center"/>
          </w:tcPr>
          <w:p w14:paraId="701FA67C" w14:textId="77777777" w:rsidR="009229E6" w:rsidRDefault="00000000">
            <w:pPr>
              <w:keepNext/>
              <w:keepLines/>
              <w:spacing w:after="0" w:line="240" w:lineRule="auto"/>
            </w:pPr>
            <w:r>
              <w:rPr>
                <w:sz w:val="18"/>
              </w:rPr>
              <w:t>012</w:t>
            </w:r>
          </w:p>
        </w:tc>
        <w:tc>
          <w:tcPr>
            <w:tcW w:w="3180" w:type="dxa"/>
            <w:tcMar>
              <w:top w:w="0" w:type="dxa"/>
              <w:bottom w:w="0" w:type="dxa"/>
            </w:tcMar>
            <w:vAlign w:val="center"/>
          </w:tcPr>
          <w:p w14:paraId="0942E1D4" w14:textId="77777777" w:rsidR="009229E6" w:rsidRDefault="00000000">
            <w:pPr>
              <w:keepNext/>
              <w:keepLines/>
              <w:spacing w:after="0" w:line="240" w:lineRule="auto"/>
            </w:pPr>
            <w:r>
              <w:rPr>
                <w:sz w:val="18"/>
              </w:rPr>
              <w:t>Nematerijalna imovina</w:t>
            </w:r>
          </w:p>
        </w:tc>
        <w:tc>
          <w:tcPr>
            <w:tcW w:w="700" w:type="dxa"/>
            <w:tcMar>
              <w:top w:w="0" w:type="dxa"/>
              <w:bottom w:w="0" w:type="dxa"/>
            </w:tcMar>
            <w:vAlign w:val="center"/>
          </w:tcPr>
          <w:p w14:paraId="65DE4261" w14:textId="77777777" w:rsidR="009229E6" w:rsidRDefault="00000000">
            <w:pPr>
              <w:keepNext/>
              <w:keepLines/>
              <w:spacing w:after="0" w:line="240" w:lineRule="auto"/>
            </w:pPr>
            <w:r>
              <w:rPr>
                <w:sz w:val="18"/>
              </w:rPr>
              <w:t>012</w:t>
            </w:r>
          </w:p>
        </w:tc>
        <w:tc>
          <w:tcPr>
            <w:tcW w:w="1860" w:type="dxa"/>
            <w:tcMar>
              <w:top w:w="0" w:type="dxa"/>
              <w:bottom w:w="0" w:type="dxa"/>
            </w:tcMar>
            <w:vAlign w:val="center"/>
          </w:tcPr>
          <w:p w14:paraId="1AA55E34" w14:textId="77777777" w:rsidR="009229E6" w:rsidRDefault="00000000">
            <w:pPr>
              <w:keepNext/>
              <w:keepLines/>
              <w:spacing w:after="0" w:line="240" w:lineRule="auto"/>
              <w:jc w:val="right"/>
            </w:pPr>
            <w:r>
              <w:rPr>
                <w:sz w:val="18"/>
              </w:rPr>
              <w:t>21.580,66</w:t>
            </w:r>
          </w:p>
        </w:tc>
        <w:tc>
          <w:tcPr>
            <w:tcW w:w="1860" w:type="dxa"/>
            <w:tcMar>
              <w:top w:w="0" w:type="dxa"/>
              <w:bottom w:w="0" w:type="dxa"/>
            </w:tcMar>
            <w:vAlign w:val="center"/>
          </w:tcPr>
          <w:p w14:paraId="551BB7FF" w14:textId="77777777" w:rsidR="009229E6" w:rsidRDefault="00000000">
            <w:pPr>
              <w:keepNext/>
              <w:keepLines/>
              <w:spacing w:after="0" w:line="240" w:lineRule="auto"/>
              <w:jc w:val="right"/>
            </w:pPr>
            <w:r>
              <w:rPr>
                <w:sz w:val="18"/>
              </w:rPr>
              <w:t>89.801,02</w:t>
            </w:r>
          </w:p>
        </w:tc>
        <w:tc>
          <w:tcPr>
            <w:tcW w:w="700" w:type="dxa"/>
            <w:tcMar>
              <w:top w:w="0" w:type="dxa"/>
              <w:bottom w:w="0" w:type="dxa"/>
            </w:tcMar>
            <w:vAlign w:val="center"/>
          </w:tcPr>
          <w:p w14:paraId="236E99F0" w14:textId="77777777" w:rsidR="009229E6" w:rsidRDefault="00000000">
            <w:pPr>
              <w:keepNext/>
              <w:keepLines/>
              <w:spacing w:after="0" w:line="240" w:lineRule="auto"/>
              <w:jc w:val="right"/>
            </w:pPr>
            <w:r>
              <w:rPr>
                <w:sz w:val="18"/>
              </w:rPr>
              <w:t>416,1</w:t>
            </w:r>
          </w:p>
        </w:tc>
      </w:tr>
    </w:tbl>
    <w:p w14:paraId="59B4F68F" w14:textId="77777777" w:rsidR="009229E6" w:rsidRDefault="009229E6">
      <w:pPr>
        <w:spacing w:after="0"/>
      </w:pPr>
    </w:p>
    <w:p w14:paraId="0E63BC1F" w14:textId="77777777" w:rsidR="009229E6" w:rsidRDefault="00000000">
      <w:r>
        <w:t>Realizirana su ulaganja na tuđoj imovini radi prava korištenja u iznosu od 68.220,36 eura. Radi se o ulaganjima u poslovnom prostoru, koji je JURA-i dodijeljen na korištenje.</w:t>
      </w:r>
    </w:p>
    <w:p w14:paraId="2334A185" w14:textId="77777777" w:rsidR="009229E6" w:rsidRDefault="009229E6"/>
    <w:p w14:paraId="35251DE5" w14:textId="77777777" w:rsidR="009229E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14E115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F8A4F8"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DA293"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B2AB36"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EE6DE"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CBD1F3"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42486C" w14:textId="77777777" w:rsidR="009229E6" w:rsidRDefault="00000000">
            <w:pPr>
              <w:keepNext/>
              <w:keepLines/>
              <w:spacing w:after="0" w:line="240" w:lineRule="auto"/>
              <w:jc w:val="center"/>
            </w:pPr>
            <w:r>
              <w:rPr>
                <w:b/>
                <w:sz w:val="18"/>
              </w:rPr>
              <w:t>Indeks (%)</w:t>
            </w:r>
          </w:p>
        </w:tc>
      </w:tr>
      <w:tr w:rsidR="009229E6" w14:paraId="2666236B" w14:textId="77777777">
        <w:tblPrEx>
          <w:tblCellMar>
            <w:top w:w="0" w:type="dxa"/>
            <w:bottom w:w="0" w:type="dxa"/>
          </w:tblCellMar>
        </w:tblPrEx>
        <w:trPr>
          <w:cantSplit/>
          <w:trHeight w:val="560"/>
        </w:trPr>
        <w:tc>
          <w:tcPr>
            <w:tcW w:w="700" w:type="dxa"/>
            <w:tcMar>
              <w:top w:w="0" w:type="dxa"/>
              <w:bottom w:w="0" w:type="dxa"/>
            </w:tcMar>
            <w:vAlign w:val="center"/>
          </w:tcPr>
          <w:p w14:paraId="19FCE76D" w14:textId="77777777" w:rsidR="009229E6" w:rsidRDefault="00000000">
            <w:pPr>
              <w:keepNext/>
              <w:keepLines/>
              <w:spacing w:after="0" w:line="240" w:lineRule="auto"/>
            </w:pPr>
            <w:r>
              <w:rPr>
                <w:sz w:val="18"/>
              </w:rPr>
              <w:t>0221</w:t>
            </w:r>
          </w:p>
        </w:tc>
        <w:tc>
          <w:tcPr>
            <w:tcW w:w="3180" w:type="dxa"/>
            <w:tcMar>
              <w:top w:w="0" w:type="dxa"/>
              <w:bottom w:w="0" w:type="dxa"/>
            </w:tcMar>
            <w:vAlign w:val="center"/>
          </w:tcPr>
          <w:p w14:paraId="16471040" w14:textId="77777777" w:rsidR="009229E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F471DF3" w14:textId="77777777" w:rsidR="009229E6" w:rsidRDefault="00000000">
            <w:pPr>
              <w:keepNext/>
              <w:keepLines/>
              <w:spacing w:after="0" w:line="240" w:lineRule="auto"/>
            </w:pPr>
            <w:r>
              <w:rPr>
                <w:sz w:val="18"/>
              </w:rPr>
              <w:t>0221</w:t>
            </w:r>
          </w:p>
        </w:tc>
        <w:tc>
          <w:tcPr>
            <w:tcW w:w="1860" w:type="dxa"/>
            <w:tcMar>
              <w:top w:w="0" w:type="dxa"/>
              <w:bottom w:w="0" w:type="dxa"/>
            </w:tcMar>
            <w:vAlign w:val="center"/>
          </w:tcPr>
          <w:p w14:paraId="2654BDAF" w14:textId="77777777" w:rsidR="009229E6" w:rsidRDefault="00000000">
            <w:pPr>
              <w:keepNext/>
              <w:keepLines/>
              <w:spacing w:after="0" w:line="240" w:lineRule="auto"/>
              <w:jc w:val="right"/>
            </w:pPr>
            <w:r>
              <w:rPr>
                <w:sz w:val="18"/>
              </w:rPr>
              <w:t>82.361,18</w:t>
            </w:r>
          </w:p>
        </w:tc>
        <w:tc>
          <w:tcPr>
            <w:tcW w:w="1860" w:type="dxa"/>
            <w:tcMar>
              <w:top w:w="0" w:type="dxa"/>
              <w:bottom w:w="0" w:type="dxa"/>
            </w:tcMar>
            <w:vAlign w:val="center"/>
          </w:tcPr>
          <w:p w14:paraId="1BFDA437" w14:textId="77777777" w:rsidR="009229E6" w:rsidRDefault="00000000">
            <w:pPr>
              <w:keepNext/>
              <w:keepLines/>
              <w:spacing w:after="0" w:line="240" w:lineRule="auto"/>
              <w:jc w:val="right"/>
            </w:pPr>
            <w:r>
              <w:rPr>
                <w:sz w:val="18"/>
              </w:rPr>
              <w:t>104.868,34</w:t>
            </w:r>
          </w:p>
        </w:tc>
        <w:tc>
          <w:tcPr>
            <w:tcW w:w="700" w:type="dxa"/>
            <w:tcMar>
              <w:top w:w="0" w:type="dxa"/>
              <w:bottom w:w="0" w:type="dxa"/>
            </w:tcMar>
            <w:vAlign w:val="center"/>
          </w:tcPr>
          <w:p w14:paraId="6C9189F3" w14:textId="77777777" w:rsidR="009229E6" w:rsidRDefault="00000000">
            <w:pPr>
              <w:keepNext/>
              <w:keepLines/>
              <w:spacing w:after="0" w:line="240" w:lineRule="auto"/>
              <w:jc w:val="right"/>
            </w:pPr>
            <w:r>
              <w:rPr>
                <w:sz w:val="18"/>
              </w:rPr>
              <w:t>127,3</w:t>
            </w:r>
          </w:p>
        </w:tc>
      </w:tr>
    </w:tbl>
    <w:p w14:paraId="37698854" w14:textId="77777777" w:rsidR="009229E6" w:rsidRDefault="009229E6">
      <w:pPr>
        <w:spacing w:after="0"/>
      </w:pPr>
    </w:p>
    <w:p w14:paraId="669FCACA" w14:textId="77777777" w:rsidR="009229E6" w:rsidRDefault="00000000">
      <w:r>
        <w:t>2025. godine nabavljeni su uredski ormari u svoti od 7.312,50 eura.</w:t>
      </w:r>
    </w:p>
    <w:p w14:paraId="1B33A424" w14:textId="77777777" w:rsidR="009229E6" w:rsidRDefault="00000000">
      <w:r>
        <w:t>Ujedno, nabavljena je računalna oprema u vrijednosti od 15.277,10 eura (server + računala).</w:t>
      </w:r>
    </w:p>
    <w:p w14:paraId="272CBD1D" w14:textId="77777777" w:rsidR="009229E6" w:rsidRDefault="00000000">
      <w:r>
        <w:t>Tijekom 2025. godine rashodovana i zbrinuta je dotrajala računalna oprema u vrijednosti od 82,44 eura te isknjižena iz evidencije u bilanci.</w:t>
      </w:r>
    </w:p>
    <w:p w14:paraId="7A5FD8AC" w14:textId="77777777" w:rsidR="009229E6" w:rsidRDefault="009229E6"/>
    <w:p w14:paraId="4A084834" w14:textId="77777777" w:rsidR="009229E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36323B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C6C756"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D9FCEA"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89293"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BC4BA"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A6FDAB"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5E6AC0" w14:textId="77777777" w:rsidR="009229E6" w:rsidRDefault="00000000">
            <w:pPr>
              <w:keepNext/>
              <w:keepLines/>
              <w:spacing w:after="0" w:line="240" w:lineRule="auto"/>
              <w:jc w:val="center"/>
            </w:pPr>
            <w:r>
              <w:rPr>
                <w:b/>
                <w:sz w:val="18"/>
              </w:rPr>
              <w:t>Indeks (%)</w:t>
            </w:r>
          </w:p>
        </w:tc>
      </w:tr>
      <w:tr w:rsidR="009229E6" w14:paraId="73536C6A" w14:textId="77777777">
        <w:tblPrEx>
          <w:tblCellMar>
            <w:top w:w="0" w:type="dxa"/>
            <w:bottom w:w="0" w:type="dxa"/>
          </w:tblCellMar>
        </w:tblPrEx>
        <w:trPr>
          <w:cantSplit/>
          <w:trHeight w:val="560"/>
        </w:trPr>
        <w:tc>
          <w:tcPr>
            <w:tcW w:w="700" w:type="dxa"/>
            <w:tcMar>
              <w:top w:w="0" w:type="dxa"/>
              <w:bottom w:w="0" w:type="dxa"/>
            </w:tcMar>
            <w:vAlign w:val="center"/>
          </w:tcPr>
          <w:p w14:paraId="4024E2CD" w14:textId="77777777" w:rsidR="009229E6" w:rsidRDefault="00000000">
            <w:pPr>
              <w:keepNext/>
              <w:keepLines/>
              <w:spacing w:after="0" w:line="240" w:lineRule="auto"/>
            </w:pPr>
            <w:r>
              <w:rPr>
                <w:sz w:val="18"/>
              </w:rPr>
              <w:t>0222</w:t>
            </w:r>
          </w:p>
        </w:tc>
        <w:tc>
          <w:tcPr>
            <w:tcW w:w="3180" w:type="dxa"/>
            <w:tcMar>
              <w:top w:w="0" w:type="dxa"/>
              <w:bottom w:w="0" w:type="dxa"/>
            </w:tcMar>
            <w:vAlign w:val="center"/>
          </w:tcPr>
          <w:p w14:paraId="621DAF3B" w14:textId="77777777" w:rsidR="009229E6" w:rsidRDefault="00000000">
            <w:pPr>
              <w:keepNext/>
              <w:keepLines/>
              <w:spacing w:after="0" w:line="240" w:lineRule="auto"/>
            </w:pPr>
            <w:r>
              <w:rPr>
                <w:sz w:val="18"/>
              </w:rPr>
              <w:t>Komunikacijska oprema</w:t>
            </w:r>
          </w:p>
        </w:tc>
        <w:tc>
          <w:tcPr>
            <w:tcW w:w="700" w:type="dxa"/>
            <w:tcMar>
              <w:top w:w="0" w:type="dxa"/>
              <w:bottom w:w="0" w:type="dxa"/>
            </w:tcMar>
            <w:vAlign w:val="center"/>
          </w:tcPr>
          <w:p w14:paraId="27D865B1" w14:textId="77777777" w:rsidR="009229E6" w:rsidRDefault="00000000">
            <w:pPr>
              <w:keepNext/>
              <w:keepLines/>
              <w:spacing w:after="0" w:line="240" w:lineRule="auto"/>
            </w:pPr>
            <w:r>
              <w:rPr>
                <w:sz w:val="18"/>
              </w:rPr>
              <w:t>0222</w:t>
            </w:r>
          </w:p>
        </w:tc>
        <w:tc>
          <w:tcPr>
            <w:tcW w:w="1860" w:type="dxa"/>
            <w:tcMar>
              <w:top w:w="0" w:type="dxa"/>
              <w:bottom w:w="0" w:type="dxa"/>
            </w:tcMar>
            <w:vAlign w:val="center"/>
          </w:tcPr>
          <w:p w14:paraId="33C2096C" w14:textId="77777777" w:rsidR="009229E6" w:rsidRDefault="00000000">
            <w:pPr>
              <w:keepNext/>
              <w:keepLines/>
              <w:spacing w:after="0" w:line="240" w:lineRule="auto"/>
              <w:jc w:val="right"/>
            </w:pPr>
            <w:r>
              <w:rPr>
                <w:sz w:val="18"/>
              </w:rPr>
              <w:t>11.355,81</w:t>
            </w:r>
          </w:p>
        </w:tc>
        <w:tc>
          <w:tcPr>
            <w:tcW w:w="1860" w:type="dxa"/>
            <w:tcMar>
              <w:top w:w="0" w:type="dxa"/>
              <w:bottom w:w="0" w:type="dxa"/>
            </w:tcMar>
            <w:vAlign w:val="center"/>
          </w:tcPr>
          <w:p w14:paraId="35F05112" w14:textId="77777777" w:rsidR="009229E6" w:rsidRDefault="00000000">
            <w:pPr>
              <w:keepNext/>
              <w:keepLines/>
              <w:spacing w:after="0" w:line="240" w:lineRule="auto"/>
              <w:jc w:val="right"/>
            </w:pPr>
            <w:r>
              <w:rPr>
                <w:sz w:val="18"/>
              </w:rPr>
              <w:t>15.113,81</w:t>
            </w:r>
          </w:p>
        </w:tc>
        <w:tc>
          <w:tcPr>
            <w:tcW w:w="700" w:type="dxa"/>
            <w:tcMar>
              <w:top w:w="0" w:type="dxa"/>
              <w:bottom w:w="0" w:type="dxa"/>
            </w:tcMar>
            <w:vAlign w:val="center"/>
          </w:tcPr>
          <w:p w14:paraId="5F62FB66" w14:textId="77777777" w:rsidR="009229E6" w:rsidRDefault="00000000">
            <w:pPr>
              <w:keepNext/>
              <w:keepLines/>
              <w:spacing w:after="0" w:line="240" w:lineRule="auto"/>
              <w:jc w:val="right"/>
            </w:pPr>
            <w:r>
              <w:rPr>
                <w:sz w:val="18"/>
              </w:rPr>
              <w:t>133,1</w:t>
            </w:r>
          </w:p>
        </w:tc>
      </w:tr>
    </w:tbl>
    <w:p w14:paraId="62732215" w14:textId="77777777" w:rsidR="009229E6" w:rsidRDefault="009229E6">
      <w:pPr>
        <w:spacing w:after="0"/>
      </w:pPr>
    </w:p>
    <w:p w14:paraId="75EF57F7" w14:textId="77777777" w:rsidR="009229E6" w:rsidRDefault="00000000">
      <w:r>
        <w:lastRenderedPageBreak/>
        <w:t>U izvještajnom razdoblju nabavljena je telekomunikacijska oprema u vrijednosti od 3.758,00 eura.</w:t>
      </w:r>
    </w:p>
    <w:p w14:paraId="7A0EA4D9" w14:textId="77777777" w:rsidR="009229E6" w:rsidRDefault="009229E6"/>
    <w:p w14:paraId="1ED71E6E" w14:textId="77777777" w:rsidR="009229E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4F4C64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B736B5"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BA81F0"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17B944"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B40D1"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6266F9"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151828" w14:textId="77777777" w:rsidR="009229E6" w:rsidRDefault="00000000">
            <w:pPr>
              <w:keepNext/>
              <w:keepLines/>
              <w:spacing w:after="0" w:line="240" w:lineRule="auto"/>
              <w:jc w:val="center"/>
            </w:pPr>
            <w:r>
              <w:rPr>
                <w:b/>
                <w:sz w:val="18"/>
              </w:rPr>
              <w:t>Indeks (%)</w:t>
            </w:r>
          </w:p>
        </w:tc>
      </w:tr>
      <w:tr w:rsidR="009229E6" w14:paraId="433AD55C" w14:textId="77777777">
        <w:tblPrEx>
          <w:tblCellMar>
            <w:top w:w="0" w:type="dxa"/>
            <w:bottom w:w="0" w:type="dxa"/>
          </w:tblCellMar>
        </w:tblPrEx>
        <w:trPr>
          <w:cantSplit/>
          <w:trHeight w:val="560"/>
        </w:trPr>
        <w:tc>
          <w:tcPr>
            <w:tcW w:w="700" w:type="dxa"/>
            <w:tcMar>
              <w:top w:w="0" w:type="dxa"/>
              <w:bottom w:w="0" w:type="dxa"/>
            </w:tcMar>
            <w:vAlign w:val="center"/>
          </w:tcPr>
          <w:p w14:paraId="40C26974" w14:textId="77777777" w:rsidR="009229E6" w:rsidRDefault="00000000">
            <w:pPr>
              <w:keepNext/>
              <w:keepLines/>
              <w:spacing w:after="0" w:line="240" w:lineRule="auto"/>
            </w:pPr>
            <w:r>
              <w:rPr>
                <w:sz w:val="18"/>
              </w:rPr>
              <w:t>922</w:t>
            </w:r>
          </w:p>
        </w:tc>
        <w:tc>
          <w:tcPr>
            <w:tcW w:w="3180" w:type="dxa"/>
            <w:tcMar>
              <w:top w:w="0" w:type="dxa"/>
              <w:bottom w:w="0" w:type="dxa"/>
            </w:tcMar>
            <w:vAlign w:val="center"/>
          </w:tcPr>
          <w:p w14:paraId="7D544E18" w14:textId="77777777" w:rsidR="009229E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644EF73" w14:textId="77777777" w:rsidR="009229E6" w:rsidRDefault="00000000">
            <w:pPr>
              <w:keepNext/>
              <w:keepLines/>
              <w:spacing w:after="0" w:line="240" w:lineRule="auto"/>
            </w:pPr>
            <w:r>
              <w:rPr>
                <w:sz w:val="18"/>
              </w:rPr>
              <w:t>922</w:t>
            </w:r>
          </w:p>
        </w:tc>
        <w:tc>
          <w:tcPr>
            <w:tcW w:w="1860" w:type="dxa"/>
            <w:tcMar>
              <w:top w:w="0" w:type="dxa"/>
              <w:bottom w:w="0" w:type="dxa"/>
            </w:tcMar>
            <w:vAlign w:val="center"/>
          </w:tcPr>
          <w:p w14:paraId="3DA2C4A7" w14:textId="77777777" w:rsidR="009229E6" w:rsidRDefault="00000000">
            <w:pPr>
              <w:keepNext/>
              <w:keepLines/>
              <w:spacing w:after="0" w:line="240" w:lineRule="auto"/>
              <w:jc w:val="right"/>
            </w:pPr>
            <w:r>
              <w:rPr>
                <w:sz w:val="18"/>
              </w:rPr>
              <w:t>357.773,81</w:t>
            </w:r>
          </w:p>
        </w:tc>
        <w:tc>
          <w:tcPr>
            <w:tcW w:w="1860" w:type="dxa"/>
            <w:tcMar>
              <w:top w:w="0" w:type="dxa"/>
              <w:bottom w:w="0" w:type="dxa"/>
            </w:tcMar>
            <w:vAlign w:val="center"/>
          </w:tcPr>
          <w:p w14:paraId="285F0526" w14:textId="77777777" w:rsidR="009229E6" w:rsidRDefault="00000000">
            <w:pPr>
              <w:keepNext/>
              <w:keepLines/>
              <w:spacing w:after="0" w:line="240" w:lineRule="auto"/>
              <w:jc w:val="right"/>
            </w:pPr>
            <w:r>
              <w:rPr>
                <w:sz w:val="18"/>
              </w:rPr>
              <w:t>212.909,59</w:t>
            </w:r>
          </w:p>
        </w:tc>
        <w:tc>
          <w:tcPr>
            <w:tcW w:w="700" w:type="dxa"/>
            <w:tcMar>
              <w:top w:w="0" w:type="dxa"/>
              <w:bottom w:w="0" w:type="dxa"/>
            </w:tcMar>
            <w:vAlign w:val="center"/>
          </w:tcPr>
          <w:p w14:paraId="60554B69" w14:textId="77777777" w:rsidR="009229E6" w:rsidRDefault="00000000">
            <w:pPr>
              <w:keepNext/>
              <w:keepLines/>
              <w:spacing w:after="0" w:line="240" w:lineRule="auto"/>
              <w:jc w:val="right"/>
            </w:pPr>
            <w:r>
              <w:rPr>
                <w:sz w:val="18"/>
              </w:rPr>
              <w:t>59,5</w:t>
            </w:r>
          </w:p>
        </w:tc>
      </w:tr>
    </w:tbl>
    <w:p w14:paraId="4317F892" w14:textId="77777777" w:rsidR="009229E6" w:rsidRDefault="009229E6">
      <w:pPr>
        <w:spacing w:after="0"/>
      </w:pPr>
    </w:p>
    <w:p w14:paraId="09A7E431" w14:textId="77777777" w:rsidR="009229E6" w:rsidRDefault="00000000">
      <w:r>
        <w:t xml:space="preserve">2024. godine JURA je ostvarila višak prihoda poslovanja u iznosu od 357.773,81 </w:t>
      </w:r>
      <w:proofErr w:type="spellStart"/>
      <w:r>
        <w:t>eur</w:t>
      </w:r>
      <w:proofErr w:type="spellEnd"/>
      <w:r>
        <w:t xml:space="preserve"> (358.013,41 </w:t>
      </w:r>
      <w:proofErr w:type="spellStart"/>
      <w:r>
        <w:t>eur</w:t>
      </w:r>
      <w:proofErr w:type="spellEnd"/>
      <w:r>
        <w:t xml:space="preserve"> višak prihoda poslovanja - 239,60 eura metodološki manjak-izvor 11). Ostvareni višak poslovanja prema izvorima financiranja (2. razina):  izvor 31 (20.006,10 eura), </w:t>
      </w:r>
      <w:proofErr w:type="spellStart"/>
      <w:r>
        <w:t>izvir</w:t>
      </w:r>
      <w:proofErr w:type="spellEnd"/>
      <w:r>
        <w:t xml:space="preserve"> 51 (11.052,75 eura) te izvor 52 (26.954,56 eura).</w:t>
      </w:r>
    </w:p>
    <w:p w14:paraId="08E9D58A" w14:textId="77777777" w:rsidR="009229E6" w:rsidRDefault="00000000">
      <w:r>
        <w:t>Tijekom 2025. evidentirani su prihodi na kontu 671 (izvor financiranja 11), a koji su utrošeni za nabavu nefinancijske imovine u iznosu od 57.022,13 eura. Provedena je korekcija rezultata na način da se za navedeni iznos zadužuje račun viška prihoda poslovanja, a odobrava račun manjka prihoda od nefinancijske imovine.  </w:t>
      </w:r>
    </w:p>
    <w:p w14:paraId="0DB1C948" w14:textId="77777777" w:rsidR="009229E6" w:rsidRDefault="00000000">
      <w:r>
        <w:t xml:space="preserve">Odlukom o rasporedu rezultata umanjen je višak prihoda poslovanja na izvoru 31 u svoti od 20.006,10 eura te evidentiran na višak prihoda za nabavu nefinancijske imovine. U toku izvještajnog razdoblja nabavljena je nefinancijska imovina u vrijednosti 20.006,00 eura - izvor </w:t>
      </w:r>
      <w:proofErr w:type="spellStart"/>
      <w:r>
        <w:t>dinanciranja</w:t>
      </w:r>
      <w:proofErr w:type="spellEnd"/>
      <w:r>
        <w:t xml:space="preserve"> 31.</w:t>
      </w:r>
    </w:p>
    <w:p w14:paraId="788380D5" w14:textId="77777777" w:rsidR="009229E6" w:rsidRDefault="00000000">
      <w:r>
        <w:t>Provedena je korekcija rezultata na izvorima 51 i 52 na način da se za navedene iznose zadužuje račun viška prihoda poslovanja, a odobrava račun manjka prihoda od nefinancijske imovine: 51 (16.800,00 eura) i 52 (1.780,00 eura).</w:t>
      </w:r>
    </w:p>
    <w:p w14:paraId="67F255A0" w14:textId="77777777" w:rsidR="009229E6" w:rsidRDefault="00000000">
      <w:r>
        <w:t>Nabavljena je nefinancijska imovina iz izvora financiranja 51:15.860,39 eura te iz izvora financiranja 52:1.679,34 eura.</w:t>
      </w:r>
    </w:p>
    <w:p w14:paraId="56CBCAD8" w14:textId="77777777" w:rsidR="009229E6" w:rsidRDefault="00000000">
      <w:r>
        <w:t>U 2025. godini ostvaren je višak poslovanja: izvor 31: 3.568,57 eura.</w:t>
      </w:r>
    </w:p>
    <w:p w14:paraId="633193A3" w14:textId="77777777" w:rsidR="009229E6" w:rsidRDefault="00000000">
      <w:r>
        <w:t>Pokriven je metodološki manjak iz 2024. godine u iznosu od 239,60 eura-izvor 11.</w:t>
      </w:r>
    </w:p>
    <w:p w14:paraId="7FF9C5E1" w14:textId="77777777" w:rsidR="009229E6" w:rsidRDefault="00000000">
      <w:r>
        <w:t>U 2025. godini ostvaren je manjak prihoda poslovanja od 90.996,07 eura: izvor 51 (87.111,21 eura) i izvor 52 (3.884,86 eura). </w:t>
      </w:r>
    </w:p>
    <w:p w14:paraId="2C2937A2" w14:textId="77777777" w:rsidR="009229E6" w:rsidRDefault="00000000">
      <w:r>
        <w:t>Ostvaren je metodološki manjak u iznosu od 19.890,89 eura - izvor 11. </w:t>
      </w:r>
    </w:p>
    <w:p w14:paraId="44481519" w14:textId="77777777" w:rsidR="009229E6" w:rsidRDefault="00000000">
      <w:r>
        <w:t>Slijedom navedenog u 2026. godinu prenosi se višak prihoda poslovanja u iznosu od 211.869,32 eura:</w:t>
      </w:r>
    </w:p>
    <w:p w14:paraId="1C5E325B" w14:textId="77777777" w:rsidR="009229E6" w:rsidRDefault="00000000">
      <w:pPr>
        <w:pStyle w:val="Odlomakpopisa"/>
        <w:numPr>
          <w:ilvl w:val="0"/>
          <w:numId w:val="1"/>
        </w:numPr>
      </w:pPr>
      <w:r>
        <w:t>izvor 11: metodološki manjak -20.130,49 eura</w:t>
      </w:r>
    </w:p>
    <w:p w14:paraId="64BE9177" w14:textId="77777777" w:rsidR="009229E6" w:rsidRDefault="00000000">
      <w:pPr>
        <w:pStyle w:val="Odlomakpopisa"/>
        <w:numPr>
          <w:ilvl w:val="0"/>
          <w:numId w:val="1"/>
        </w:numPr>
      </w:pPr>
      <w:r>
        <w:t>izvor 31: 3.568,57 eura</w:t>
      </w:r>
    </w:p>
    <w:p w14:paraId="7DDF7C36" w14:textId="77777777" w:rsidR="009229E6" w:rsidRDefault="00000000">
      <w:pPr>
        <w:pStyle w:val="Odlomakpopisa"/>
        <w:numPr>
          <w:ilvl w:val="0"/>
          <w:numId w:val="1"/>
        </w:numPr>
      </w:pPr>
      <w:r>
        <w:t>izvor 51: 208.081,15 eura</w:t>
      </w:r>
    </w:p>
    <w:p w14:paraId="01AD18BC" w14:textId="77777777" w:rsidR="009229E6" w:rsidRDefault="00000000">
      <w:pPr>
        <w:pStyle w:val="Odlomakpopisa"/>
        <w:numPr>
          <w:ilvl w:val="0"/>
          <w:numId w:val="1"/>
        </w:numPr>
      </w:pPr>
      <w:r>
        <w:t>izvor 52: 21.390,36 eura</w:t>
      </w:r>
    </w:p>
    <w:p w14:paraId="689A942D" w14:textId="77777777" w:rsidR="009229E6" w:rsidRDefault="00000000">
      <w:r>
        <w:lastRenderedPageBreak/>
        <w:t xml:space="preserve">Višak od nefinancijske imovine: 1.040,27 eura (izvor 51: 939,61 </w:t>
      </w:r>
      <w:proofErr w:type="spellStart"/>
      <w:r>
        <w:t>eura+izvor</w:t>
      </w:r>
      <w:proofErr w:type="spellEnd"/>
      <w:r>
        <w:t xml:space="preserve"> financiranja 52: 100,66 eura).   </w:t>
      </w:r>
    </w:p>
    <w:p w14:paraId="0D335ED1" w14:textId="77777777" w:rsidR="009229E6" w:rsidRDefault="00000000">
      <w:r>
        <w:t> </w:t>
      </w:r>
    </w:p>
    <w:p w14:paraId="06C92197" w14:textId="77777777" w:rsidR="009229E6" w:rsidRDefault="00000000">
      <w:r>
        <w:t> </w:t>
      </w:r>
    </w:p>
    <w:p w14:paraId="6D1A5107" w14:textId="77777777" w:rsidR="009229E6" w:rsidRDefault="009229E6"/>
    <w:p w14:paraId="25A37C12" w14:textId="77777777" w:rsidR="009229E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69C6DC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B8234"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1EB930"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35E66"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39418C"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949789"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865065" w14:textId="77777777" w:rsidR="009229E6" w:rsidRDefault="00000000">
            <w:pPr>
              <w:keepNext/>
              <w:keepLines/>
              <w:spacing w:after="0" w:line="240" w:lineRule="auto"/>
              <w:jc w:val="center"/>
            </w:pPr>
            <w:r>
              <w:rPr>
                <w:b/>
                <w:sz w:val="18"/>
              </w:rPr>
              <w:t>Indeks (%)</w:t>
            </w:r>
          </w:p>
        </w:tc>
      </w:tr>
      <w:tr w:rsidR="009229E6" w14:paraId="49BE862C" w14:textId="77777777">
        <w:tblPrEx>
          <w:tblCellMar>
            <w:top w:w="0" w:type="dxa"/>
            <w:bottom w:w="0" w:type="dxa"/>
          </w:tblCellMar>
        </w:tblPrEx>
        <w:trPr>
          <w:cantSplit/>
          <w:trHeight w:val="560"/>
        </w:trPr>
        <w:tc>
          <w:tcPr>
            <w:tcW w:w="700" w:type="dxa"/>
            <w:tcMar>
              <w:top w:w="0" w:type="dxa"/>
              <w:bottom w:w="0" w:type="dxa"/>
            </w:tcMar>
            <w:vAlign w:val="center"/>
          </w:tcPr>
          <w:p w14:paraId="0CFA827F" w14:textId="77777777" w:rsidR="009229E6" w:rsidRDefault="00000000">
            <w:pPr>
              <w:keepNext/>
              <w:keepLines/>
              <w:spacing w:after="0" w:line="240" w:lineRule="auto"/>
            </w:pPr>
            <w:r>
              <w:rPr>
                <w:sz w:val="18"/>
              </w:rPr>
              <w:t>99621</w:t>
            </w:r>
          </w:p>
        </w:tc>
        <w:tc>
          <w:tcPr>
            <w:tcW w:w="3180" w:type="dxa"/>
            <w:tcMar>
              <w:top w:w="0" w:type="dxa"/>
              <w:bottom w:w="0" w:type="dxa"/>
            </w:tcMar>
            <w:vAlign w:val="center"/>
          </w:tcPr>
          <w:p w14:paraId="016D002E" w14:textId="77777777" w:rsidR="009229E6" w:rsidRDefault="00000000">
            <w:pPr>
              <w:keepNext/>
              <w:keepLines/>
              <w:spacing w:after="0" w:line="240" w:lineRule="auto"/>
            </w:pPr>
            <w:r>
              <w:rPr>
                <w:sz w:val="18"/>
              </w:rPr>
              <w:t>Potencijalne obveze po danim jamstvima</w:t>
            </w:r>
          </w:p>
        </w:tc>
        <w:tc>
          <w:tcPr>
            <w:tcW w:w="700" w:type="dxa"/>
            <w:tcMar>
              <w:top w:w="0" w:type="dxa"/>
              <w:bottom w:w="0" w:type="dxa"/>
            </w:tcMar>
            <w:vAlign w:val="center"/>
          </w:tcPr>
          <w:p w14:paraId="4DACA779" w14:textId="77777777" w:rsidR="009229E6" w:rsidRDefault="00000000">
            <w:pPr>
              <w:keepNext/>
              <w:keepLines/>
              <w:spacing w:after="0" w:line="240" w:lineRule="auto"/>
            </w:pPr>
            <w:r>
              <w:rPr>
                <w:sz w:val="18"/>
              </w:rPr>
              <w:t>99621</w:t>
            </w:r>
          </w:p>
        </w:tc>
        <w:tc>
          <w:tcPr>
            <w:tcW w:w="1860" w:type="dxa"/>
            <w:tcMar>
              <w:top w:w="0" w:type="dxa"/>
              <w:bottom w:w="0" w:type="dxa"/>
            </w:tcMar>
            <w:vAlign w:val="center"/>
          </w:tcPr>
          <w:p w14:paraId="73A1A0BA"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1A9FE7B9"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03896A45" w14:textId="77777777" w:rsidR="009229E6" w:rsidRDefault="00000000">
            <w:pPr>
              <w:keepNext/>
              <w:keepLines/>
              <w:spacing w:after="0" w:line="240" w:lineRule="auto"/>
              <w:jc w:val="right"/>
            </w:pPr>
            <w:r>
              <w:rPr>
                <w:sz w:val="18"/>
              </w:rPr>
              <w:t>-</w:t>
            </w:r>
          </w:p>
        </w:tc>
      </w:tr>
    </w:tbl>
    <w:p w14:paraId="2D2E2D29" w14:textId="77777777" w:rsidR="009229E6" w:rsidRDefault="009229E6">
      <w:pPr>
        <w:spacing w:after="0"/>
      </w:pPr>
    </w:p>
    <w:p w14:paraId="5F875C4D" w14:textId="77777777" w:rsidR="009229E6" w:rsidRDefault="00000000">
      <w:r>
        <w:t>JURA nema obveza po danim jamstvima.</w:t>
      </w:r>
    </w:p>
    <w:p w14:paraId="66ECF114" w14:textId="77777777" w:rsidR="009229E6" w:rsidRDefault="009229E6"/>
    <w:p w14:paraId="2AE976D1" w14:textId="77777777" w:rsidR="009229E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28BF84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FEEA4"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F2E4B2"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C2F58"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12307"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D99823"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AE5353" w14:textId="77777777" w:rsidR="009229E6" w:rsidRDefault="00000000">
            <w:pPr>
              <w:keepNext/>
              <w:keepLines/>
              <w:spacing w:after="0" w:line="240" w:lineRule="auto"/>
              <w:jc w:val="center"/>
            </w:pPr>
            <w:r>
              <w:rPr>
                <w:b/>
                <w:sz w:val="18"/>
              </w:rPr>
              <w:t>Indeks (%)</w:t>
            </w:r>
          </w:p>
        </w:tc>
      </w:tr>
      <w:tr w:rsidR="009229E6" w14:paraId="2E6E7440" w14:textId="77777777">
        <w:tblPrEx>
          <w:tblCellMar>
            <w:top w:w="0" w:type="dxa"/>
            <w:bottom w:w="0" w:type="dxa"/>
          </w:tblCellMar>
        </w:tblPrEx>
        <w:trPr>
          <w:cantSplit/>
          <w:trHeight w:val="560"/>
        </w:trPr>
        <w:tc>
          <w:tcPr>
            <w:tcW w:w="700" w:type="dxa"/>
            <w:tcMar>
              <w:top w:w="0" w:type="dxa"/>
              <w:bottom w:w="0" w:type="dxa"/>
            </w:tcMar>
            <w:vAlign w:val="center"/>
          </w:tcPr>
          <w:p w14:paraId="5649F052" w14:textId="77777777" w:rsidR="009229E6" w:rsidRDefault="00000000">
            <w:pPr>
              <w:keepNext/>
              <w:keepLines/>
              <w:spacing w:after="0" w:line="240" w:lineRule="auto"/>
            </w:pPr>
            <w:r>
              <w:rPr>
                <w:sz w:val="18"/>
              </w:rPr>
              <w:t>99641</w:t>
            </w:r>
          </w:p>
        </w:tc>
        <w:tc>
          <w:tcPr>
            <w:tcW w:w="3180" w:type="dxa"/>
            <w:tcMar>
              <w:top w:w="0" w:type="dxa"/>
              <w:bottom w:w="0" w:type="dxa"/>
            </w:tcMar>
            <w:vAlign w:val="center"/>
          </w:tcPr>
          <w:p w14:paraId="6D9555E0" w14:textId="77777777" w:rsidR="009229E6"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150C5549" w14:textId="77777777" w:rsidR="009229E6" w:rsidRDefault="00000000">
            <w:pPr>
              <w:keepNext/>
              <w:keepLines/>
              <w:spacing w:after="0" w:line="240" w:lineRule="auto"/>
            </w:pPr>
            <w:r>
              <w:rPr>
                <w:sz w:val="18"/>
              </w:rPr>
              <w:t>99641</w:t>
            </w:r>
          </w:p>
        </w:tc>
        <w:tc>
          <w:tcPr>
            <w:tcW w:w="1860" w:type="dxa"/>
            <w:tcMar>
              <w:top w:w="0" w:type="dxa"/>
              <w:bottom w:w="0" w:type="dxa"/>
            </w:tcMar>
            <w:vAlign w:val="center"/>
          </w:tcPr>
          <w:p w14:paraId="15307C02"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00120BD5"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4F5C9935" w14:textId="77777777" w:rsidR="009229E6" w:rsidRDefault="00000000">
            <w:pPr>
              <w:keepNext/>
              <w:keepLines/>
              <w:spacing w:after="0" w:line="240" w:lineRule="auto"/>
              <w:jc w:val="right"/>
            </w:pPr>
            <w:r>
              <w:rPr>
                <w:sz w:val="18"/>
              </w:rPr>
              <w:t>-</w:t>
            </w:r>
          </w:p>
        </w:tc>
      </w:tr>
    </w:tbl>
    <w:p w14:paraId="5E6E953D" w14:textId="77777777" w:rsidR="009229E6" w:rsidRDefault="009229E6">
      <w:pPr>
        <w:spacing w:after="0"/>
      </w:pPr>
    </w:p>
    <w:p w14:paraId="536024C5" w14:textId="77777777" w:rsidR="009229E6" w:rsidRDefault="00000000">
      <w:r>
        <w:t>JURA nema izdanih instrumenata osiguranja.</w:t>
      </w:r>
    </w:p>
    <w:p w14:paraId="2A6F6AB7" w14:textId="77777777" w:rsidR="009229E6" w:rsidRDefault="009229E6"/>
    <w:p w14:paraId="0F5DBD75" w14:textId="77777777" w:rsidR="009229E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311ECC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9F637"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A7651C"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DEC7CC"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3DB24"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1ABBA2"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9D219A" w14:textId="77777777" w:rsidR="009229E6" w:rsidRDefault="00000000">
            <w:pPr>
              <w:keepNext/>
              <w:keepLines/>
              <w:spacing w:after="0" w:line="240" w:lineRule="auto"/>
              <w:jc w:val="center"/>
            </w:pPr>
            <w:r>
              <w:rPr>
                <w:b/>
                <w:sz w:val="18"/>
              </w:rPr>
              <w:t>Indeks (%)</w:t>
            </w:r>
          </w:p>
        </w:tc>
      </w:tr>
      <w:tr w:rsidR="009229E6" w14:paraId="6071DE44" w14:textId="77777777">
        <w:tblPrEx>
          <w:tblCellMar>
            <w:top w:w="0" w:type="dxa"/>
            <w:bottom w:w="0" w:type="dxa"/>
          </w:tblCellMar>
        </w:tblPrEx>
        <w:trPr>
          <w:cantSplit/>
          <w:trHeight w:val="560"/>
        </w:trPr>
        <w:tc>
          <w:tcPr>
            <w:tcW w:w="700" w:type="dxa"/>
            <w:tcMar>
              <w:top w:w="0" w:type="dxa"/>
              <w:bottom w:w="0" w:type="dxa"/>
            </w:tcMar>
            <w:vAlign w:val="center"/>
          </w:tcPr>
          <w:p w14:paraId="058D2776" w14:textId="77777777" w:rsidR="009229E6" w:rsidRDefault="00000000">
            <w:pPr>
              <w:keepNext/>
              <w:keepLines/>
              <w:spacing w:after="0" w:line="240" w:lineRule="auto"/>
            </w:pPr>
            <w:r>
              <w:rPr>
                <w:sz w:val="18"/>
              </w:rPr>
              <w:t>99651</w:t>
            </w:r>
          </w:p>
        </w:tc>
        <w:tc>
          <w:tcPr>
            <w:tcW w:w="3180" w:type="dxa"/>
            <w:tcMar>
              <w:top w:w="0" w:type="dxa"/>
              <w:bottom w:w="0" w:type="dxa"/>
            </w:tcMar>
            <w:vAlign w:val="center"/>
          </w:tcPr>
          <w:p w14:paraId="132F864D" w14:textId="77777777" w:rsidR="009229E6"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214006CD" w14:textId="77777777" w:rsidR="009229E6" w:rsidRDefault="00000000">
            <w:pPr>
              <w:keepNext/>
              <w:keepLines/>
              <w:spacing w:after="0" w:line="240" w:lineRule="auto"/>
            </w:pPr>
            <w:r>
              <w:rPr>
                <w:sz w:val="18"/>
              </w:rPr>
              <w:t>99651</w:t>
            </w:r>
          </w:p>
        </w:tc>
        <w:tc>
          <w:tcPr>
            <w:tcW w:w="1860" w:type="dxa"/>
            <w:tcMar>
              <w:top w:w="0" w:type="dxa"/>
              <w:bottom w:w="0" w:type="dxa"/>
            </w:tcMar>
            <w:vAlign w:val="center"/>
          </w:tcPr>
          <w:p w14:paraId="30519D3F"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460A4B42"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13F606DC" w14:textId="77777777" w:rsidR="009229E6" w:rsidRDefault="00000000">
            <w:pPr>
              <w:keepNext/>
              <w:keepLines/>
              <w:spacing w:after="0" w:line="240" w:lineRule="auto"/>
              <w:jc w:val="right"/>
            </w:pPr>
            <w:r>
              <w:rPr>
                <w:sz w:val="18"/>
              </w:rPr>
              <w:t>-</w:t>
            </w:r>
          </w:p>
        </w:tc>
      </w:tr>
    </w:tbl>
    <w:p w14:paraId="0B68C753" w14:textId="77777777" w:rsidR="009229E6" w:rsidRDefault="009229E6">
      <w:pPr>
        <w:spacing w:after="0"/>
      </w:pPr>
    </w:p>
    <w:p w14:paraId="4DB36EDA" w14:textId="77777777" w:rsidR="009229E6" w:rsidRDefault="00000000">
      <w:r>
        <w:t>Javna ustanova za regionalni razvoj Varaždinske županije nema sudskih sporova u tijeku.</w:t>
      </w:r>
    </w:p>
    <w:p w14:paraId="77B087C5" w14:textId="77777777" w:rsidR="009229E6" w:rsidRDefault="009229E6"/>
    <w:p w14:paraId="4A5583F5" w14:textId="77777777" w:rsidR="009229E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9E6" w14:paraId="26A956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41D5A"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D6ED40"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864C5"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1EE66F" w14:textId="77777777" w:rsidR="009229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7AF663" w14:textId="77777777" w:rsidR="009229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4AE112" w14:textId="77777777" w:rsidR="009229E6" w:rsidRDefault="00000000">
            <w:pPr>
              <w:keepNext/>
              <w:keepLines/>
              <w:spacing w:after="0" w:line="240" w:lineRule="auto"/>
              <w:jc w:val="center"/>
            </w:pPr>
            <w:r>
              <w:rPr>
                <w:b/>
                <w:sz w:val="18"/>
              </w:rPr>
              <w:t>Indeks (%)</w:t>
            </w:r>
          </w:p>
        </w:tc>
      </w:tr>
      <w:tr w:rsidR="009229E6" w14:paraId="2C3F6E09" w14:textId="77777777">
        <w:tblPrEx>
          <w:tblCellMar>
            <w:top w:w="0" w:type="dxa"/>
            <w:bottom w:w="0" w:type="dxa"/>
          </w:tblCellMar>
        </w:tblPrEx>
        <w:trPr>
          <w:cantSplit/>
          <w:trHeight w:val="560"/>
        </w:trPr>
        <w:tc>
          <w:tcPr>
            <w:tcW w:w="700" w:type="dxa"/>
            <w:tcMar>
              <w:top w:w="0" w:type="dxa"/>
              <w:bottom w:w="0" w:type="dxa"/>
            </w:tcMar>
            <w:vAlign w:val="center"/>
          </w:tcPr>
          <w:p w14:paraId="497088F7" w14:textId="77777777" w:rsidR="009229E6" w:rsidRDefault="00000000">
            <w:pPr>
              <w:keepNext/>
              <w:keepLines/>
              <w:spacing w:after="0" w:line="240" w:lineRule="auto"/>
            </w:pPr>
            <w:r>
              <w:rPr>
                <w:sz w:val="18"/>
              </w:rPr>
              <w:t>99691</w:t>
            </w:r>
          </w:p>
        </w:tc>
        <w:tc>
          <w:tcPr>
            <w:tcW w:w="3180" w:type="dxa"/>
            <w:tcMar>
              <w:top w:w="0" w:type="dxa"/>
              <w:bottom w:w="0" w:type="dxa"/>
            </w:tcMar>
            <w:vAlign w:val="center"/>
          </w:tcPr>
          <w:p w14:paraId="7D434770" w14:textId="77777777" w:rsidR="009229E6" w:rsidRDefault="00000000">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1918A07B" w14:textId="77777777" w:rsidR="009229E6" w:rsidRDefault="00000000">
            <w:pPr>
              <w:keepNext/>
              <w:keepLines/>
              <w:spacing w:after="0" w:line="240" w:lineRule="auto"/>
            </w:pPr>
            <w:r>
              <w:rPr>
                <w:sz w:val="18"/>
              </w:rPr>
              <w:t>99691</w:t>
            </w:r>
          </w:p>
        </w:tc>
        <w:tc>
          <w:tcPr>
            <w:tcW w:w="1860" w:type="dxa"/>
            <w:tcMar>
              <w:top w:w="0" w:type="dxa"/>
              <w:bottom w:w="0" w:type="dxa"/>
            </w:tcMar>
            <w:vAlign w:val="center"/>
          </w:tcPr>
          <w:p w14:paraId="60D14DD9" w14:textId="77777777" w:rsidR="009229E6" w:rsidRDefault="00000000">
            <w:pPr>
              <w:keepNext/>
              <w:keepLines/>
              <w:spacing w:after="0" w:line="240" w:lineRule="auto"/>
              <w:jc w:val="right"/>
            </w:pPr>
            <w:r>
              <w:rPr>
                <w:sz w:val="18"/>
              </w:rPr>
              <w:t>0,00</w:t>
            </w:r>
          </w:p>
        </w:tc>
        <w:tc>
          <w:tcPr>
            <w:tcW w:w="1860" w:type="dxa"/>
            <w:tcMar>
              <w:top w:w="0" w:type="dxa"/>
              <w:bottom w:w="0" w:type="dxa"/>
            </w:tcMar>
            <w:vAlign w:val="center"/>
          </w:tcPr>
          <w:p w14:paraId="58A45C64" w14:textId="77777777" w:rsidR="009229E6" w:rsidRDefault="00000000">
            <w:pPr>
              <w:keepNext/>
              <w:keepLines/>
              <w:spacing w:after="0" w:line="240" w:lineRule="auto"/>
              <w:jc w:val="right"/>
            </w:pPr>
            <w:r>
              <w:rPr>
                <w:sz w:val="18"/>
              </w:rPr>
              <w:t>0,00</w:t>
            </w:r>
          </w:p>
        </w:tc>
        <w:tc>
          <w:tcPr>
            <w:tcW w:w="700" w:type="dxa"/>
            <w:tcMar>
              <w:top w:w="0" w:type="dxa"/>
              <w:bottom w:w="0" w:type="dxa"/>
            </w:tcMar>
            <w:vAlign w:val="center"/>
          </w:tcPr>
          <w:p w14:paraId="34794B02" w14:textId="77777777" w:rsidR="009229E6" w:rsidRDefault="00000000">
            <w:pPr>
              <w:keepNext/>
              <w:keepLines/>
              <w:spacing w:after="0" w:line="240" w:lineRule="auto"/>
              <w:jc w:val="right"/>
            </w:pPr>
            <w:r>
              <w:rPr>
                <w:sz w:val="18"/>
              </w:rPr>
              <w:t>-</w:t>
            </w:r>
          </w:p>
        </w:tc>
      </w:tr>
    </w:tbl>
    <w:p w14:paraId="186D0EBD" w14:textId="77777777" w:rsidR="009229E6" w:rsidRDefault="009229E6">
      <w:pPr>
        <w:spacing w:after="0"/>
      </w:pPr>
    </w:p>
    <w:p w14:paraId="2ADB165E" w14:textId="77777777" w:rsidR="009229E6" w:rsidRDefault="00000000">
      <w:r>
        <w:t xml:space="preserve">Javna ustanova za regionalni razvoj nema ugovorenih odnosa koji bi mogli postati obveza u </w:t>
      </w:r>
      <w:proofErr w:type="spellStart"/>
      <w:r>
        <w:t>rarednim</w:t>
      </w:r>
      <w:proofErr w:type="spellEnd"/>
      <w:r>
        <w:t xml:space="preserve"> razdobljima.</w:t>
      </w:r>
    </w:p>
    <w:p w14:paraId="31F5E659" w14:textId="77777777" w:rsidR="009229E6" w:rsidRDefault="009229E6"/>
    <w:p w14:paraId="4192A1C6" w14:textId="77777777" w:rsidR="009229E6" w:rsidRDefault="00000000">
      <w:pPr>
        <w:keepNext/>
        <w:spacing w:line="240" w:lineRule="auto"/>
        <w:jc w:val="center"/>
      </w:pPr>
      <w:r>
        <w:rPr>
          <w:b/>
          <w:sz w:val="28"/>
        </w:rPr>
        <w:t>Izvještaj o obvezama</w:t>
      </w:r>
    </w:p>
    <w:p w14:paraId="315500AC" w14:textId="77777777" w:rsidR="009229E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9E6" w14:paraId="05745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0794DD"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E6959D"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66BC5"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14633" w14:textId="77777777" w:rsidR="009229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CEE000" w14:textId="77777777" w:rsidR="009229E6" w:rsidRDefault="00000000">
            <w:pPr>
              <w:keepNext/>
              <w:keepLines/>
              <w:spacing w:after="0" w:line="240" w:lineRule="auto"/>
              <w:jc w:val="center"/>
            </w:pPr>
            <w:r>
              <w:rPr>
                <w:b/>
                <w:sz w:val="18"/>
              </w:rPr>
              <w:t>Indeks (%)</w:t>
            </w:r>
          </w:p>
        </w:tc>
      </w:tr>
      <w:tr w:rsidR="009229E6" w14:paraId="442661C9" w14:textId="77777777">
        <w:tblPrEx>
          <w:tblCellMar>
            <w:top w:w="0" w:type="dxa"/>
            <w:bottom w:w="0" w:type="dxa"/>
          </w:tblCellMar>
        </w:tblPrEx>
        <w:trPr>
          <w:cantSplit/>
          <w:trHeight w:val="560"/>
        </w:trPr>
        <w:tc>
          <w:tcPr>
            <w:tcW w:w="700" w:type="dxa"/>
            <w:tcMar>
              <w:top w:w="0" w:type="dxa"/>
              <w:bottom w:w="0" w:type="dxa"/>
            </w:tcMar>
            <w:vAlign w:val="center"/>
          </w:tcPr>
          <w:p w14:paraId="5B8D48CB" w14:textId="77777777" w:rsidR="009229E6" w:rsidRDefault="009229E6">
            <w:pPr>
              <w:keepNext/>
              <w:keepLines/>
              <w:spacing w:after="0" w:line="240" w:lineRule="auto"/>
            </w:pPr>
          </w:p>
        </w:tc>
        <w:tc>
          <w:tcPr>
            <w:tcW w:w="3180" w:type="dxa"/>
            <w:tcMar>
              <w:top w:w="0" w:type="dxa"/>
              <w:bottom w:w="0" w:type="dxa"/>
            </w:tcMar>
            <w:vAlign w:val="center"/>
          </w:tcPr>
          <w:p w14:paraId="562E77D9" w14:textId="77777777" w:rsidR="009229E6"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FB8B372" w14:textId="77777777" w:rsidR="009229E6" w:rsidRDefault="00000000">
            <w:pPr>
              <w:keepNext/>
              <w:keepLines/>
              <w:spacing w:after="0" w:line="240" w:lineRule="auto"/>
            </w:pPr>
            <w:r>
              <w:rPr>
                <w:sz w:val="18"/>
              </w:rPr>
              <w:t>V001</w:t>
            </w:r>
          </w:p>
        </w:tc>
        <w:tc>
          <w:tcPr>
            <w:tcW w:w="1860" w:type="dxa"/>
            <w:tcMar>
              <w:top w:w="0" w:type="dxa"/>
              <w:bottom w:w="0" w:type="dxa"/>
            </w:tcMar>
            <w:vAlign w:val="center"/>
          </w:tcPr>
          <w:p w14:paraId="7BC900AA" w14:textId="77777777" w:rsidR="009229E6" w:rsidRDefault="00000000">
            <w:pPr>
              <w:keepNext/>
              <w:keepLines/>
              <w:spacing w:after="0" w:line="240" w:lineRule="auto"/>
              <w:jc w:val="right"/>
            </w:pPr>
            <w:r>
              <w:rPr>
                <w:sz w:val="18"/>
              </w:rPr>
              <w:t>64.252,99</w:t>
            </w:r>
          </w:p>
        </w:tc>
        <w:tc>
          <w:tcPr>
            <w:tcW w:w="700" w:type="dxa"/>
            <w:tcMar>
              <w:top w:w="0" w:type="dxa"/>
              <w:bottom w:w="0" w:type="dxa"/>
            </w:tcMar>
            <w:vAlign w:val="center"/>
          </w:tcPr>
          <w:p w14:paraId="692B7B4F" w14:textId="77777777" w:rsidR="009229E6" w:rsidRDefault="00000000">
            <w:pPr>
              <w:keepNext/>
              <w:keepLines/>
              <w:spacing w:after="0" w:line="240" w:lineRule="auto"/>
              <w:jc w:val="right"/>
            </w:pPr>
            <w:r>
              <w:rPr>
                <w:sz w:val="18"/>
              </w:rPr>
              <w:t>-</w:t>
            </w:r>
          </w:p>
        </w:tc>
      </w:tr>
    </w:tbl>
    <w:p w14:paraId="0F823EEE" w14:textId="77777777" w:rsidR="009229E6" w:rsidRDefault="009229E6">
      <w:pPr>
        <w:spacing w:after="0"/>
      </w:pPr>
    </w:p>
    <w:p w14:paraId="12B4DAF3" w14:textId="77777777" w:rsidR="009229E6" w:rsidRDefault="00000000">
      <w:r>
        <w:t>JURA redovito podmiruje obveze. Stanje obveza na kraju izvještajnog razdoblja je 63.664,57 eura. </w:t>
      </w:r>
    </w:p>
    <w:p w14:paraId="3F404F61" w14:textId="77777777" w:rsidR="009229E6" w:rsidRDefault="009229E6"/>
    <w:p w14:paraId="2132116F" w14:textId="77777777" w:rsidR="009229E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9E6" w14:paraId="3507C6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D396F5" w14:textId="77777777" w:rsidR="009229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3015C" w14:textId="77777777" w:rsidR="009229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7DD6B" w14:textId="77777777" w:rsidR="009229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A63825" w14:textId="77777777" w:rsidR="009229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C4E165" w14:textId="77777777" w:rsidR="009229E6" w:rsidRDefault="00000000">
            <w:pPr>
              <w:keepNext/>
              <w:keepLines/>
              <w:spacing w:after="0" w:line="240" w:lineRule="auto"/>
              <w:jc w:val="center"/>
            </w:pPr>
            <w:r>
              <w:rPr>
                <w:b/>
                <w:sz w:val="18"/>
              </w:rPr>
              <w:t>Indeks (%)</w:t>
            </w:r>
          </w:p>
        </w:tc>
      </w:tr>
      <w:tr w:rsidR="009229E6" w14:paraId="547B844F" w14:textId="77777777">
        <w:tblPrEx>
          <w:tblCellMar>
            <w:top w:w="0" w:type="dxa"/>
            <w:bottom w:w="0" w:type="dxa"/>
          </w:tblCellMar>
        </w:tblPrEx>
        <w:trPr>
          <w:cantSplit/>
          <w:trHeight w:val="560"/>
        </w:trPr>
        <w:tc>
          <w:tcPr>
            <w:tcW w:w="700" w:type="dxa"/>
            <w:tcMar>
              <w:top w:w="0" w:type="dxa"/>
              <w:bottom w:w="0" w:type="dxa"/>
            </w:tcMar>
            <w:vAlign w:val="center"/>
          </w:tcPr>
          <w:p w14:paraId="065991A7" w14:textId="77777777" w:rsidR="009229E6" w:rsidRDefault="009229E6">
            <w:pPr>
              <w:keepNext/>
              <w:keepLines/>
              <w:spacing w:after="0" w:line="240" w:lineRule="auto"/>
            </w:pPr>
          </w:p>
        </w:tc>
        <w:tc>
          <w:tcPr>
            <w:tcW w:w="3180" w:type="dxa"/>
            <w:tcMar>
              <w:top w:w="0" w:type="dxa"/>
              <w:bottom w:w="0" w:type="dxa"/>
            </w:tcMar>
            <w:vAlign w:val="center"/>
          </w:tcPr>
          <w:p w14:paraId="35357981" w14:textId="77777777" w:rsidR="009229E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F83086D" w14:textId="77777777" w:rsidR="009229E6" w:rsidRDefault="00000000">
            <w:pPr>
              <w:keepNext/>
              <w:keepLines/>
              <w:spacing w:after="0" w:line="240" w:lineRule="auto"/>
            </w:pPr>
            <w:r>
              <w:rPr>
                <w:sz w:val="18"/>
              </w:rPr>
              <w:t>V007</w:t>
            </w:r>
          </w:p>
        </w:tc>
        <w:tc>
          <w:tcPr>
            <w:tcW w:w="1860" w:type="dxa"/>
            <w:tcMar>
              <w:top w:w="0" w:type="dxa"/>
              <w:bottom w:w="0" w:type="dxa"/>
            </w:tcMar>
            <w:vAlign w:val="center"/>
          </w:tcPr>
          <w:p w14:paraId="40E73123" w14:textId="77777777" w:rsidR="009229E6" w:rsidRDefault="00000000">
            <w:pPr>
              <w:keepNext/>
              <w:keepLines/>
              <w:spacing w:after="0" w:line="240" w:lineRule="auto"/>
              <w:jc w:val="right"/>
            </w:pPr>
            <w:r>
              <w:rPr>
                <w:sz w:val="18"/>
              </w:rPr>
              <w:t>91,27</w:t>
            </w:r>
          </w:p>
        </w:tc>
        <w:tc>
          <w:tcPr>
            <w:tcW w:w="700" w:type="dxa"/>
            <w:tcMar>
              <w:top w:w="0" w:type="dxa"/>
              <w:bottom w:w="0" w:type="dxa"/>
            </w:tcMar>
            <w:vAlign w:val="center"/>
          </w:tcPr>
          <w:p w14:paraId="0054E901" w14:textId="77777777" w:rsidR="009229E6" w:rsidRDefault="00000000">
            <w:pPr>
              <w:keepNext/>
              <w:keepLines/>
              <w:spacing w:after="0" w:line="240" w:lineRule="auto"/>
              <w:jc w:val="right"/>
            </w:pPr>
            <w:r>
              <w:rPr>
                <w:sz w:val="18"/>
              </w:rPr>
              <w:t>-</w:t>
            </w:r>
          </w:p>
        </w:tc>
      </w:tr>
    </w:tbl>
    <w:p w14:paraId="218FA657" w14:textId="77777777" w:rsidR="009229E6" w:rsidRDefault="009229E6">
      <w:pPr>
        <w:spacing w:after="0"/>
      </w:pPr>
    </w:p>
    <w:p w14:paraId="1EED1F17" w14:textId="77777777" w:rsidR="009229E6" w:rsidRDefault="00000000">
      <w:r>
        <w:t> Svota dospjelih obveza na dan 31.12.2025. je  91,27 eura, a odnosi se na račun zaprimljen nakon isteka obveze za plaćanje. </w:t>
      </w:r>
    </w:p>
    <w:p w14:paraId="09CE73C6" w14:textId="77777777" w:rsidR="009229E6" w:rsidRDefault="009229E6"/>
    <w:p w14:paraId="503C322B" w14:textId="77777777" w:rsidR="009229E6" w:rsidRDefault="00000000">
      <w:pPr>
        <w:keepNext/>
        <w:spacing w:line="240" w:lineRule="auto"/>
        <w:jc w:val="center"/>
      </w:pPr>
      <w:r>
        <w:rPr>
          <w:sz w:val="28"/>
        </w:rPr>
        <w:t>Bilješka 23.</w:t>
      </w:r>
    </w:p>
    <w:p w14:paraId="305D8126" w14:textId="77777777" w:rsidR="009229E6" w:rsidRDefault="00000000">
      <w:pPr>
        <w:spacing w:line="240" w:lineRule="auto"/>
        <w:jc w:val="both"/>
      </w:pPr>
      <w:r>
        <w:rPr>
          <w:b/>
        </w:rPr>
        <w:t>EU izvještaj</w:t>
      </w:r>
    </w:p>
    <w:p w14:paraId="0E306D5E" w14:textId="77777777" w:rsidR="009229E6" w:rsidRDefault="00000000">
      <w:r>
        <w:t xml:space="preserve">Javna ustanova za regionalni razvoj </w:t>
      </w:r>
      <w:proofErr w:type="spellStart"/>
      <w:r>
        <w:t>Vraždinske</w:t>
      </w:r>
      <w:proofErr w:type="spellEnd"/>
      <w:r>
        <w:t xml:space="preserve"> županije sklopila je u prosincu 2023. godine, s Ministarstvom regionalnog razvoja i fondova Europske unije, Sporazum o dodjeli bespovratnih sredstava za provedbu aktivnosti jačanja kapaciteta na regionalnoj i lokalnoj razini za korištenje sredstava EU fondova. Sporazum je sklopljen za razdoblje provedbe od dvije godine (2024. i 2025.).</w:t>
      </w:r>
    </w:p>
    <w:p w14:paraId="72E06B77" w14:textId="77777777" w:rsidR="009229E6" w:rsidRDefault="00000000">
      <w:r>
        <w:t>JURA-i su dodijeljen sredstva u ukupnom iznosu od 677.730,33 eura. </w:t>
      </w:r>
    </w:p>
    <w:p w14:paraId="2687968A" w14:textId="77777777" w:rsidR="009229E6" w:rsidRDefault="00000000">
      <w:r>
        <w:t>2024. godine JURA je, temeljem navedenog Sporazuma, ostvarila prihod od 338.865,16 eura, a 2025. godine 338.865,17 eura.</w:t>
      </w:r>
    </w:p>
    <w:p w14:paraId="3AA6EB99" w14:textId="77777777" w:rsidR="009229E6" w:rsidRDefault="00000000">
      <w:r>
        <w:t>Sredstva su namijenjena pokriću rashoda za zaposlene.</w:t>
      </w:r>
    </w:p>
    <w:p w14:paraId="30A920A7" w14:textId="77777777" w:rsidR="009229E6" w:rsidRDefault="00000000">
      <w:r>
        <w:t>2024. utrošeno je  291.035,79 eura, a 2025. godine 386.694,54 eura. </w:t>
      </w:r>
    </w:p>
    <w:p w14:paraId="635678DD" w14:textId="77777777" w:rsidR="009229E6" w:rsidRDefault="00000000">
      <w:r>
        <w:t> </w:t>
      </w:r>
    </w:p>
    <w:p w14:paraId="07679A18" w14:textId="77777777" w:rsidR="009229E6" w:rsidRDefault="009229E6"/>
    <w:sectPr w:rsidR="00922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61835"/>
    <w:multiLevelType w:val="hybridMultilevel"/>
    <w:tmpl w:val="A642A5A2"/>
    <w:name w:val="disc"/>
    <w:lvl w:ilvl="0" w:tplc="B6E60D3C">
      <w:start w:val="1"/>
      <w:numFmt w:val="bullet"/>
      <w:lvlText w:val="•"/>
      <w:lvlJc w:val="left"/>
      <w:pPr>
        <w:ind w:left="720" w:hanging="360"/>
      </w:pPr>
    </w:lvl>
    <w:lvl w:ilvl="1" w:tplc="F7F87046">
      <w:start w:val="1"/>
      <w:numFmt w:val="bullet"/>
      <w:lvlText w:val="•"/>
      <w:lvlJc w:val="left"/>
      <w:pPr>
        <w:ind w:left="1440" w:hanging="360"/>
      </w:pPr>
    </w:lvl>
    <w:lvl w:ilvl="2" w:tplc="CA36333A">
      <w:start w:val="1"/>
      <w:numFmt w:val="bullet"/>
      <w:lvlText w:val="•"/>
      <w:lvlJc w:val="left"/>
      <w:pPr>
        <w:ind w:left="2160" w:hanging="360"/>
      </w:pPr>
    </w:lvl>
    <w:lvl w:ilvl="3" w:tplc="B310F04E">
      <w:start w:val="1"/>
      <w:numFmt w:val="bullet"/>
      <w:lvlText w:val="•"/>
      <w:lvlJc w:val="left"/>
      <w:pPr>
        <w:ind w:left="2880" w:hanging="360"/>
      </w:pPr>
    </w:lvl>
    <w:lvl w:ilvl="4" w:tplc="A0266274">
      <w:start w:val="1"/>
      <w:numFmt w:val="bullet"/>
      <w:lvlText w:val="•"/>
      <w:lvlJc w:val="left"/>
      <w:pPr>
        <w:ind w:left="3600" w:hanging="360"/>
      </w:pPr>
    </w:lvl>
    <w:lvl w:ilvl="5" w:tplc="7BA4AC88">
      <w:start w:val="1"/>
      <w:numFmt w:val="bullet"/>
      <w:lvlText w:val="•"/>
      <w:lvlJc w:val="left"/>
      <w:pPr>
        <w:ind w:left="4320" w:hanging="360"/>
      </w:pPr>
    </w:lvl>
    <w:lvl w:ilvl="6" w:tplc="7AB849C0">
      <w:start w:val="1"/>
      <w:numFmt w:val="bullet"/>
      <w:lvlText w:val="•"/>
      <w:lvlJc w:val="left"/>
      <w:pPr>
        <w:ind w:left="5040" w:hanging="360"/>
      </w:pPr>
    </w:lvl>
    <w:lvl w:ilvl="7" w:tplc="BF0CC754">
      <w:start w:val="1"/>
      <w:numFmt w:val="bullet"/>
      <w:lvlText w:val="•"/>
      <w:lvlJc w:val="left"/>
      <w:pPr>
        <w:ind w:left="5760" w:hanging="360"/>
      </w:pPr>
    </w:lvl>
    <w:lvl w:ilvl="8" w:tplc="5BB47AEE">
      <w:start w:val="1"/>
      <w:numFmt w:val="bullet"/>
      <w:lvlText w:val="•"/>
      <w:lvlJc w:val="left"/>
      <w:pPr>
        <w:ind w:left="6480" w:hanging="360"/>
      </w:pPr>
    </w:lvl>
  </w:abstractNum>
  <w:num w:numId="1" w16cid:durableId="994336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9229E6"/>
    <w:rsid w:val="00B8137C"/>
    <w:rsid w:val="00EE57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BCE6"/>
  <w15:docId w15:val="{859E6971-4D70-4ED1-8BC1-34F7DDBD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 Mikašek</dc:creator>
  <cp:lastModifiedBy>Zlata Mikašek</cp:lastModifiedBy>
  <cp:revision>2</cp:revision>
  <dcterms:created xsi:type="dcterms:W3CDTF">2026-02-02T16:23:00Z</dcterms:created>
  <dcterms:modified xsi:type="dcterms:W3CDTF">2026-02-02T16:23:00Z</dcterms:modified>
</cp:coreProperties>
</file>